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798F" w14:textId="77777777" w:rsidR="00FE390E" w:rsidRPr="00BD050D" w:rsidRDefault="00FE390E" w:rsidP="000164E5">
      <w:pPr>
        <w:pStyle w:val="3DSTitle1"/>
        <w:numPr>
          <w:ilvl w:val="0"/>
          <w:numId w:val="0"/>
        </w:numPr>
        <w:spacing w:before="0"/>
        <w:ind w:left="360" w:hanging="360"/>
        <w:jc w:val="center"/>
        <w:rPr>
          <w:rFonts w:cstheme="minorHAnsi"/>
          <w:color w:val="auto"/>
          <w:sz w:val="24"/>
          <w:szCs w:val="24"/>
        </w:rPr>
      </w:pPr>
    </w:p>
    <w:p w14:paraId="0919378C" w14:textId="77777777" w:rsidR="00FE390E" w:rsidRPr="00BD050D" w:rsidRDefault="00FE390E" w:rsidP="000164E5">
      <w:pPr>
        <w:pStyle w:val="3DSTitle1"/>
        <w:numPr>
          <w:ilvl w:val="0"/>
          <w:numId w:val="0"/>
        </w:numPr>
        <w:spacing w:before="0"/>
        <w:ind w:left="360" w:hanging="360"/>
        <w:jc w:val="center"/>
        <w:rPr>
          <w:rFonts w:cstheme="minorHAnsi"/>
          <w:color w:val="auto"/>
          <w:sz w:val="24"/>
          <w:szCs w:val="24"/>
        </w:rPr>
      </w:pPr>
    </w:p>
    <w:p w14:paraId="2774AC1C" w14:textId="77777777" w:rsidR="009B08D1" w:rsidRPr="00BD050D" w:rsidRDefault="004B765C" w:rsidP="000164E5">
      <w:pPr>
        <w:pStyle w:val="3DSTitle1"/>
        <w:numPr>
          <w:ilvl w:val="0"/>
          <w:numId w:val="0"/>
        </w:numPr>
        <w:spacing w:before="0"/>
        <w:ind w:left="360" w:hanging="360"/>
        <w:jc w:val="center"/>
        <w:rPr>
          <w:rFonts w:cstheme="minorHAnsi"/>
          <w:color w:val="auto"/>
          <w:sz w:val="28"/>
        </w:rPr>
      </w:pPr>
      <w:r w:rsidRPr="00BD050D">
        <w:rPr>
          <w:rFonts w:cstheme="minorHAnsi"/>
          <w:color w:val="auto"/>
          <w:sz w:val="28"/>
        </w:rPr>
        <w:t>User Guidance</w:t>
      </w:r>
    </w:p>
    <w:p w14:paraId="41FB7521" w14:textId="0078D535" w:rsidR="009B08D1" w:rsidRPr="00BD050D" w:rsidRDefault="00AB396A" w:rsidP="009B08D1">
      <w:pPr>
        <w:pStyle w:val="3DSTitle1"/>
        <w:numPr>
          <w:ilvl w:val="0"/>
          <w:numId w:val="0"/>
        </w:numPr>
        <w:spacing w:before="0"/>
        <w:ind w:right="-154"/>
        <w:jc w:val="center"/>
        <w:rPr>
          <w:rFonts w:cstheme="minorHAnsi"/>
          <w:color w:val="auto"/>
          <w:sz w:val="28"/>
        </w:rPr>
      </w:pPr>
      <w:r w:rsidRPr="00BD050D">
        <w:rPr>
          <w:rFonts w:cstheme="minorHAnsi"/>
          <w:color w:val="auto"/>
          <w:sz w:val="28"/>
        </w:rPr>
        <w:t>IPC</w:t>
      </w:r>
      <w:r w:rsidR="009B08D1" w:rsidRPr="00BD050D">
        <w:rPr>
          <w:rFonts w:cstheme="minorHAnsi"/>
          <w:color w:val="auto"/>
          <w:sz w:val="28"/>
        </w:rPr>
        <w:t xml:space="preserve">-1754 - </w:t>
      </w:r>
      <w:r w:rsidR="009B08D1" w:rsidRPr="00BD050D">
        <w:rPr>
          <w:rFonts w:cstheme="minorHAnsi"/>
          <w:color w:val="auto"/>
          <w:sz w:val="28"/>
          <w:lang w:val="en-GB"/>
        </w:rPr>
        <w:t xml:space="preserve">Materials and Substances </w:t>
      </w:r>
      <w:r w:rsidR="00D80345" w:rsidRPr="00BD050D">
        <w:rPr>
          <w:rFonts w:cstheme="minorHAnsi"/>
          <w:color w:val="auto"/>
          <w:sz w:val="28"/>
          <w:lang w:val="en-GB"/>
        </w:rPr>
        <w:t xml:space="preserve">Declaration Data Exchange </w:t>
      </w:r>
      <w:r w:rsidR="009B08D1" w:rsidRPr="00BD050D">
        <w:rPr>
          <w:rFonts w:cstheme="minorHAnsi"/>
          <w:color w:val="auto"/>
          <w:sz w:val="28"/>
          <w:lang w:val="en-GB"/>
        </w:rPr>
        <w:t>f</w:t>
      </w:r>
      <w:r w:rsidR="00087EE5" w:rsidRPr="00BD050D">
        <w:rPr>
          <w:rFonts w:cstheme="minorHAnsi"/>
          <w:color w:val="auto"/>
          <w:sz w:val="28"/>
        </w:rPr>
        <w:t>or Aerospace and Defenc</w:t>
      </w:r>
      <w:r w:rsidR="002C2179" w:rsidRPr="00BD050D">
        <w:rPr>
          <w:rFonts w:cstheme="minorHAnsi"/>
          <w:color w:val="auto"/>
          <w:sz w:val="28"/>
        </w:rPr>
        <w:t xml:space="preserve">e </w:t>
      </w:r>
      <w:r w:rsidR="009B08D1" w:rsidRPr="00BD050D">
        <w:rPr>
          <w:rFonts w:cstheme="minorHAnsi"/>
          <w:color w:val="auto"/>
          <w:sz w:val="28"/>
        </w:rPr>
        <w:t>and Other Industries</w:t>
      </w:r>
    </w:p>
    <w:p w14:paraId="36980EF2" w14:textId="7A2FBA69" w:rsidR="00A82FAA" w:rsidRPr="00B17C92" w:rsidRDefault="00A82FAA" w:rsidP="009B08D1">
      <w:pPr>
        <w:pStyle w:val="3DSTitle1"/>
        <w:numPr>
          <w:ilvl w:val="0"/>
          <w:numId w:val="0"/>
        </w:numPr>
        <w:spacing w:before="0"/>
        <w:ind w:right="-154"/>
        <w:jc w:val="center"/>
        <w:rPr>
          <w:rFonts w:cstheme="minorHAnsi"/>
          <w:color w:val="auto"/>
          <w:sz w:val="28"/>
        </w:rPr>
      </w:pPr>
      <w:r w:rsidRPr="00B17C92">
        <w:rPr>
          <w:rFonts w:cstheme="minorHAnsi"/>
          <w:color w:val="auto"/>
          <w:sz w:val="28"/>
        </w:rPr>
        <w:t xml:space="preserve">Version 2.0 </w:t>
      </w:r>
    </w:p>
    <w:p w14:paraId="66C94D5A" w14:textId="77777777" w:rsidR="001F648E" w:rsidRPr="00BD050D" w:rsidRDefault="001F648E" w:rsidP="001F648E">
      <w:pPr>
        <w:pStyle w:val="Default"/>
        <w:rPr>
          <w:rFonts w:asciiTheme="minorHAnsi" w:hAnsiTheme="minorHAnsi" w:cstheme="minorHAnsi"/>
          <w:b/>
          <w:bCs/>
          <w:color w:val="auto"/>
          <w:lang w:val="en-US"/>
        </w:rPr>
      </w:pPr>
    </w:p>
    <w:p w14:paraId="53A951C8" w14:textId="77777777" w:rsidR="00666840" w:rsidRPr="00BD050D" w:rsidRDefault="00666840" w:rsidP="00666840">
      <w:pPr>
        <w:pStyle w:val="Default"/>
        <w:pBdr>
          <w:top w:val="single" w:sz="4" w:space="1" w:color="auto"/>
        </w:pBdr>
        <w:rPr>
          <w:rFonts w:asciiTheme="minorHAnsi" w:hAnsiTheme="minorHAnsi" w:cstheme="minorHAnsi"/>
          <w:b/>
          <w:bCs/>
          <w:color w:val="auto"/>
          <w:lang w:val="en-US"/>
        </w:rPr>
      </w:pPr>
    </w:p>
    <w:p w14:paraId="21B34890" w14:textId="43FF3595" w:rsidR="0039448C" w:rsidRPr="00BD050D" w:rsidRDefault="0039448C" w:rsidP="001F648E">
      <w:pPr>
        <w:pStyle w:val="Default"/>
        <w:rPr>
          <w:rFonts w:asciiTheme="minorHAnsi" w:hAnsiTheme="minorHAnsi" w:cstheme="minorHAnsi"/>
          <w:b/>
          <w:bCs/>
          <w:color w:val="auto"/>
          <w:lang w:val="en-US"/>
        </w:rPr>
      </w:pPr>
    </w:p>
    <w:p w14:paraId="30B76B39" w14:textId="58A2D0AD" w:rsidR="00C6026C" w:rsidRPr="00BD050D" w:rsidRDefault="00C6026C" w:rsidP="001F648E">
      <w:pPr>
        <w:pStyle w:val="Default"/>
        <w:rPr>
          <w:rFonts w:asciiTheme="minorHAnsi" w:hAnsiTheme="minorHAnsi" w:cstheme="minorHAnsi"/>
          <w:b/>
          <w:bCs/>
          <w:color w:val="auto"/>
          <w:lang w:val="en-US"/>
        </w:rPr>
      </w:pPr>
    </w:p>
    <w:tbl>
      <w:tblPr>
        <w:tblStyle w:val="TableGrid"/>
        <w:tblW w:w="6835" w:type="dxa"/>
        <w:tblInd w:w="1080" w:type="dxa"/>
        <w:tblLayout w:type="fixed"/>
        <w:tblLook w:val="04A0" w:firstRow="1" w:lastRow="0" w:firstColumn="1" w:lastColumn="0" w:noHBand="0" w:noVBand="1"/>
      </w:tblPr>
      <w:tblGrid>
        <w:gridCol w:w="1098"/>
        <w:gridCol w:w="5737"/>
      </w:tblGrid>
      <w:tr w:rsidR="00BD050D" w:rsidRPr="00BD050D" w14:paraId="5A6FC6E6" w14:textId="77777777" w:rsidTr="00A55CDD">
        <w:tc>
          <w:tcPr>
            <w:tcW w:w="1098" w:type="dxa"/>
          </w:tcPr>
          <w:p w14:paraId="0404B927" w14:textId="77777777" w:rsidR="0032707C" w:rsidRPr="00BD050D" w:rsidRDefault="0032707C" w:rsidP="00A55CDD">
            <w:pPr>
              <w:spacing w:before="0"/>
              <w:ind w:right="438"/>
              <w:rPr>
                <w:rFonts w:cstheme="minorHAnsi"/>
                <w:i/>
                <w:iCs/>
                <w:sz w:val="24"/>
                <w:szCs w:val="24"/>
              </w:rPr>
            </w:pPr>
          </w:p>
        </w:tc>
        <w:tc>
          <w:tcPr>
            <w:tcW w:w="5737" w:type="dxa"/>
          </w:tcPr>
          <w:p w14:paraId="443FB0D5" w14:textId="3A163194" w:rsidR="0032707C" w:rsidRPr="00BD050D" w:rsidRDefault="00A82FAA" w:rsidP="00D6771C">
            <w:pPr>
              <w:spacing w:before="0"/>
              <w:rPr>
                <w:rFonts w:cstheme="minorHAnsi"/>
                <w:b/>
                <w:bCs/>
                <w:sz w:val="24"/>
                <w:szCs w:val="24"/>
              </w:rPr>
            </w:pPr>
            <w:r w:rsidRPr="00BD050D">
              <w:rPr>
                <w:rFonts w:cstheme="minorHAnsi"/>
                <w:b/>
                <w:bCs/>
                <w:sz w:val="24"/>
                <w:szCs w:val="24"/>
              </w:rPr>
              <w:t xml:space="preserve">                    Table of Contents </w:t>
            </w:r>
          </w:p>
        </w:tc>
      </w:tr>
      <w:tr w:rsidR="00BD050D" w:rsidRPr="00BD050D" w14:paraId="6771758B" w14:textId="77777777" w:rsidTr="00A55CDD">
        <w:tc>
          <w:tcPr>
            <w:tcW w:w="1098" w:type="dxa"/>
          </w:tcPr>
          <w:p w14:paraId="0D2E5880" w14:textId="77777777" w:rsidR="0032707C" w:rsidRPr="00B17C92" w:rsidRDefault="0032707C" w:rsidP="00A55CDD">
            <w:pPr>
              <w:spacing w:before="0"/>
              <w:ind w:right="438"/>
              <w:rPr>
                <w:rFonts w:cstheme="minorHAnsi"/>
                <w:sz w:val="24"/>
                <w:szCs w:val="24"/>
              </w:rPr>
            </w:pPr>
            <w:r w:rsidRPr="00B17C92">
              <w:rPr>
                <w:rFonts w:cstheme="minorHAnsi"/>
                <w:sz w:val="24"/>
                <w:szCs w:val="24"/>
              </w:rPr>
              <w:t>1</w:t>
            </w:r>
          </w:p>
        </w:tc>
        <w:tc>
          <w:tcPr>
            <w:tcW w:w="5737" w:type="dxa"/>
          </w:tcPr>
          <w:p w14:paraId="4605CC0A" w14:textId="77777777" w:rsidR="0032707C" w:rsidRPr="00B17C92" w:rsidRDefault="0032707C" w:rsidP="00A55CDD">
            <w:pPr>
              <w:spacing w:before="0"/>
              <w:rPr>
                <w:rFonts w:cstheme="minorHAnsi"/>
                <w:sz w:val="24"/>
                <w:szCs w:val="24"/>
              </w:rPr>
            </w:pPr>
            <w:r w:rsidRPr="00B17C92">
              <w:rPr>
                <w:rFonts w:cstheme="minorHAnsi"/>
                <w:sz w:val="24"/>
                <w:szCs w:val="24"/>
              </w:rPr>
              <w:t>Introduction</w:t>
            </w:r>
          </w:p>
        </w:tc>
      </w:tr>
      <w:tr w:rsidR="00BD050D" w:rsidRPr="00BD050D" w14:paraId="01325F2C" w14:textId="77777777" w:rsidTr="00A55CDD">
        <w:tc>
          <w:tcPr>
            <w:tcW w:w="1098" w:type="dxa"/>
          </w:tcPr>
          <w:p w14:paraId="06B75481" w14:textId="77777777" w:rsidR="0032707C" w:rsidRPr="00B17C92" w:rsidRDefault="0032707C" w:rsidP="00A55CDD">
            <w:pPr>
              <w:spacing w:before="0"/>
              <w:ind w:right="438"/>
              <w:rPr>
                <w:rFonts w:cstheme="minorHAnsi"/>
                <w:sz w:val="24"/>
                <w:szCs w:val="24"/>
              </w:rPr>
            </w:pPr>
            <w:r w:rsidRPr="00B17C92">
              <w:rPr>
                <w:rFonts w:cstheme="minorHAnsi"/>
                <w:sz w:val="24"/>
                <w:szCs w:val="24"/>
              </w:rPr>
              <w:t>2</w:t>
            </w:r>
          </w:p>
        </w:tc>
        <w:tc>
          <w:tcPr>
            <w:tcW w:w="5737" w:type="dxa"/>
          </w:tcPr>
          <w:p w14:paraId="423187C5" w14:textId="77777777" w:rsidR="0032707C" w:rsidRPr="00B17C92" w:rsidRDefault="0032707C" w:rsidP="00A55CDD">
            <w:pPr>
              <w:spacing w:before="0"/>
              <w:rPr>
                <w:rFonts w:cstheme="minorHAnsi"/>
                <w:sz w:val="24"/>
                <w:szCs w:val="24"/>
              </w:rPr>
            </w:pPr>
            <w:r w:rsidRPr="00B17C92">
              <w:rPr>
                <w:rFonts w:cstheme="minorHAnsi"/>
                <w:sz w:val="24"/>
                <w:szCs w:val="24"/>
              </w:rPr>
              <w:t>Why IPC-1754 Materials and Substance Data Exchange?</w:t>
            </w:r>
          </w:p>
        </w:tc>
      </w:tr>
      <w:tr w:rsidR="00BD050D" w:rsidRPr="00BD050D" w14:paraId="644B9CB6" w14:textId="77777777" w:rsidTr="00A55CDD">
        <w:tc>
          <w:tcPr>
            <w:tcW w:w="1098" w:type="dxa"/>
          </w:tcPr>
          <w:p w14:paraId="0479BCDB" w14:textId="77777777" w:rsidR="0032707C" w:rsidRPr="00B17C92" w:rsidRDefault="0032707C" w:rsidP="00A55CDD">
            <w:pPr>
              <w:spacing w:before="0"/>
              <w:ind w:right="438"/>
              <w:rPr>
                <w:rFonts w:cstheme="minorHAnsi"/>
                <w:sz w:val="24"/>
                <w:szCs w:val="24"/>
              </w:rPr>
            </w:pPr>
            <w:r w:rsidRPr="00B17C92">
              <w:rPr>
                <w:rFonts w:cstheme="minorHAnsi"/>
                <w:sz w:val="24"/>
                <w:szCs w:val="24"/>
              </w:rPr>
              <w:t>3</w:t>
            </w:r>
          </w:p>
        </w:tc>
        <w:tc>
          <w:tcPr>
            <w:tcW w:w="5737" w:type="dxa"/>
          </w:tcPr>
          <w:p w14:paraId="4D4ED4EE" w14:textId="77777777" w:rsidR="0032707C" w:rsidRPr="00B17C92" w:rsidRDefault="0032707C" w:rsidP="00A55CDD">
            <w:pPr>
              <w:spacing w:before="0"/>
              <w:rPr>
                <w:rFonts w:cstheme="minorHAnsi"/>
                <w:sz w:val="24"/>
                <w:szCs w:val="24"/>
              </w:rPr>
            </w:pPr>
            <w:r w:rsidRPr="00B17C92">
              <w:rPr>
                <w:rFonts w:cstheme="minorHAnsi"/>
                <w:sz w:val="24"/>
                <w:szCs w:val="24"/>
              </w:rPr>
              <w:t>Material Declaration Considerations</w:t>
            </w:r>
          </w:p>
        </w:tc>
      </w:tr>
      <w:tr w:rsidR="00BD050D" w:rsidRPr="00BD050D" w14:paraId="3E96A870" w14:textId="77777777" w:rsidTr="00A55CDD">
        <w:tc>
          <w:tcPr>
            <w:tcW w:w="1098" w:type="dxa"/>
          </w:tcPr>
          <w:p w14:paraId="43C7E26F" w14:textId="77777777" w:rsidR="0032707C" w:rsidRPr="00B17C92" w:rsidRDefault="0032707C" w:rsidP="00A55CDD">
            <w:pPr>
              <w:spacing w:before="0"/>
              <w:ind w:right="438"/>
              <w:rPr>
                <w:rFonts w:cstheme="minorHAnsi"/>
                <w:sz w:val="24"/>
                <w:szCs w:val="24"/>
              </w:rPr>
            </w:pPr>
            <w:r w:rsidRPr="00B17C92">
              <w:rPr>
                <w:rFonts w:cstheme="minorHAnsi"/>
                <w:sz w:val="24"/>
                <w:szCs w:val="24"/>
              </w:rPr>
              <w:t xml:space="preserve">  3.1</w:t>
            </w:r>
          </w:p>
        </w:tc>
        <w:tc>
          <w:tcPr>
            <w:tcW w:w="5737" w:type="dxa"/>
          </w:tcPr>
          <w:p w14:paraId="6646A0E0" w14:textId="77777777" w:rsidR="0032707C" w:rsidRPr="00B17C92" w:rsidRDefault="0032707C" w:rsidP="00A55CDD">
            <w:pPr>
              <w:spacing w:before="0"/>
              <w:ind w:left="348"/>
              <w:rPr>
                <w:rFonts w:cstheme="minorHAnsi"/>
                <w:sz w:val="24"/>
                <w:szCs w:val="24"/>
              </w:rPr>
            </w:pPr>
            <w:r w:rsidRPr="00B17C92">
              <w:rPr>
                <w:rFonts w:cstheme="minorHAnsi"/>
                <w:sz w:val="24"/>
                <w:szCs w:val="24"/>
              </w:rPr>
              <w:t>Business to Business Data Exchange</w:t>
            </w:r>
          </w:p>
        </w:tc>
      </w:tr>
      <w:tr w:rsidR="00BD050D" w:rsidRPr="00BD050D" w14:paraId="04781AC2" w14:textId="77777777" w:rsidTr="00A55CDD">
        <w:tc>
          <w:tcPr>
            <w:tcW w:w="1098" w:type="dxa"/>
          </w:tcPr>
          <w:p w14:paraId="34C89C37" w14:textId="77777777" w:rsidR="0032707C" w:rsidRPr="00B17C92" w:rsidRDefault="0032707C" w:rsidP="00A55CDD">
            <w:pPr>
              <w:spacing w:before="0"/>
              <w:ind w:right="438"/>
              <w:rPr>
                <w:rFonts w:cstheme="minorHAnsi"/>
                <w:sz w:val="24"/>
                <w:szCs w:val="24"/>
              </w:rPr>
            </w:pPr>
            <w:r w:rsidRPr="00B17C92">
              <w:rPr>
                <w:rFonts w:cstheme="minorHAnsi"/>
                <w:sz w:val="24"/>
                <w:szCs w:val="24"/>
              </w:rPr>
              <w:t xml:space="preserve">  3.2</w:t>
            </w:r>
          </w:p>
        </w:tc>
        <w:tc>
          <w:tcPr>
            <w:tcW w:w="5737" w:type="dxa"/>
          </w:tcPr>
          <w:p w14:paraId="0F1DC76B" w14:textId="77777777" w:rsidR="0032707C" w:rsidRPr="00B17C92" w:rsidRDefault="0032707C" w:rsidP="00A55CDD">
            <w:pPr>
              <w:spacing w:before="0"/>
              <w:ind w:left="348"/>
              <w:rPr>
                <w:rFonts w:cstheme="minorHAnsi"/>
                <w:strike/>
                <w:sz w:val="24"/>
                <w:szCs w:val="24"/>
              </w:rPr>
            </w:pPr>
            <w:r w:rsidRPr="00B17C92">
              <w:rPr>
                <w:rFonts w:cstheme="minorHAnsi"/>
                <w:sz w:val="24"/>
                <w:szCs w:val="24"/>
              </w:rPr>
              <w:t>Confidential Business Info</w:t>
            </w:r>
          </w:p>
        </w:tc>
      </w:tr>
      <w:tr w:rsidR="00BD050D" w:rsidRPr="00BD050D" w14:paraId="42D30CDB" w14:textId="77777777" w:rsidTr="00A55CDD">
        <w:tc>
          <w:tcPr>
            <w:tcW w:w="1098" w:type="dxa"/>
          </w:tcPr>
          <w:p w14:paraId="0EA73183" w14:textId="77777777" w:rsidR="0032707C" w:rsidRPr="00B17C92" w:rsidRDefault="0032707C" w:rsidP="00A55CDD">
            <w:pPr>
              <w:spacing w:before="0"/>
              <w:ind w:right="438"/>
              <w:rPr>
                <w:rFonts w:cstheme="minorHAnsi"/>
                <w:sz w:val="24"/>
                <w:szCs w:val="24"/>
              </w:rPr>
            </w:pPr>
            <w:r w:rsidRPr="00B17C92">
              <w:rPr>
                <w:rFonts w:cstheme="minorHAnsi"/>
                <w:sz w:val="24"/>
                <w:szCs w:val="24"/>
              </w:rPr>
              <w:t>4</w:t>
            </w:r>
          </w:p>
        </w:tc>
        <w:tc>
          <w:tcPr>
            <w:tcW w:w="5737" w:type="dxa"/>
          </w:tcPr>
          <w:p w14:paraId="3F23286F" w14:textId="77777777" w:rsidR="0032707C" w:rsidRPr="00B17C92" w:rsidRDefault="0032707C" w:rsidP="00A55CDD">
            <w:pPr>
              <w:spacing w:before="0"/>
              <w:rPr>
                <w:rFonts w:cstheme="minorHAnsi"/>
                <w:sz w:val="24"/>
                <w:szCs w:val="24"/>
              </w:rPr>
            </w:pPr>
            <w:r w:rsidRPr="00B17C92">
              <w:rPr>
                <w:rFonts w:cstheme="minorHAnsi"/>
                <w:sz w:val="24"/>
                <w:szCs w:val="24"/>
              </w:rPr>
              <w:t xml:space="preserve">Materials &amp; Substance Data </w:t>
            </w:r>
          </w:p>
        </w:tc>
      </w:tr>
      <w:tr w:rsidR="00BD050D" w:rsidRPr="00BD050D" w14:paraId="64BF77F0" w14:textId="77777777" w:rsidTr="00A55CDD">
        <w:tc>
          <w:tcPr>
            <w:tcW w:w="1098" w:type="dxa"/>
          </w:tcPr>
          <w:p w14:paraId="35A101EE" w14:textId="036866DE" w:rsidR="0032707C" w:rsidRPr="00B17C92" w:rsidRDefault="005D132C" w:rsidP="00A55CDD">
            <w:pPr>
              <w:spacing w:before="0"/>
              <w:ind w:right="438"/>
              <w:rPr>
                <w:rFonts w:cstheme="minorHAnsi"/>
                <w:sz w:val="24"/>
                <w:szCs w:val="24"/>
              </w:rPr>
            </w:pPr>
            <w:r w:rsidRPr="00B17C92">
              <w:rPr>
                <w:rFonts w:cstheme="minorHAnsi"/>
                <w:sz w:val="24"/>
                <w:szCs w:val="24"/>
              </w:rPr>
              <w:t xml:space="preserve">  </w:t>
            </w:r>
            <w:r w:rsidR="0032707C" w:rsidRPr="00B17C92">
              <w:rPr>
                <w:rFonts w:cstheme="minorHAnsi"/>
                <w:sz w:val="24"/>
                <w:szCs w:val="24"/>
              </w:rPr>
              <w:t>4.1</w:t>
            </w:r>
          </w:p>
        </w:tc>
        <w:tc>
          <w:tcPr>
            <w:tcW w:w="5737" w:type="dxa"/>
          </w:tcPr>
          <w:p w14:paraId="7CD3CF2A" w14:textId="77777777" w:rsidR="0032707C" w:rsidRPr="00B17C92" w:rsidRDefault="0032707C" w:rsidP="00A55CDD">
            <w:pPr>
              <w:spacing w:before="0"/>
              <w:ind w:left="318"/>
              <w:rPr>
                <w:rFonts w:cstheme="minorHAnsi"/>
                <w:sz w:val="24"/>
                <w:szCs w:val="24"/>
              </w:rPr>
            </w:pPr>
            <w:r w:rsidRPr="00B17C92">
              <w:rPr>
                <w:rFonts w:cstheme="minorHAnsi"/>
                <w:sz w:val="24"/>
                <w:szCs w:val="24"/>
              </w:rPr>
              <w:t>Internal Data</w:t>
            </w:r>
          </w:p>
        </w:tc>
      </w:tr>
      <w:tr w:rsidR="00BD050D" w:rsidRPr="00BD050D" w14:paraId="0D09A245" w14:textId="77777777" w:rsidTr="00A55CDD">
        <w:tc>
          <w:tcPr>
            <w:tcW w:w="1098" w:type="dxa"/>
          </w:tcPr>
          <w:p w14:paraId="206931CB" w14:textId="278A4EEB" w:rsidR="0032707C" w:rsidRPr="00B17C92" w:rsidRDefault="005D132C" w:rsidP="00A55CDD">
            <w:pPr>
              <w:spacing w:before="0"/>
              <w:ind w:right="438"/>
              <w:rPr>
                <w:rFonts w:cstheme="minorHAnsi"/>
                <w:sz w:val="24"/>
                <w:szCs w:val="24"/>
              </w:rPr>
            </w:pPr>
            <w:r w:rsidRPr="00B17C92">
              <w:rPr>
                <w:rFonts w:cstheme="minorHAnsi"/>
                <w:sz w:val="24"/>
                <w:szCs w:val="24"/>
              </w:rPr>
              <w:t xml:space="preserve">  </w:t>
            </w:r>
            <w:r w:rsidR="0032707C" w:rsidRPr="00B17C92">
              <w:rPr>
                <w:rFonts w:cstheme="minorHAnsi"/>
                <w:sz w:val="24"/>
                <w:szCs w:val="24"/>
              </w:rPr>
              <w:t>4.2</w:t>
            </w:r>
          </w:p>
        </w:tc>
        <w:tc>
          <w:tcPr>
            <w:tcW w:w="5737" w:type="dxa"/>
          </w:tcPr>
          <w:p w14:paraId="7EA7F908" w14:textId="77777777" w:rsidR="0032707C" w:rsidRPr="00B17C92" w:rsidRDefault="0032707C" w:rsidP="00A55CDD">
            <w:pPr>
              <w:spacing w:before="0"/>
              <w:ind w:left="318"/>
              <w:rPr>
                <w:rFonts w:cstheme="minorHAnsi"/>
                <w:sz w:val="24"/>
                <w:szCs w:val="24"/>
              </w:rPr>
            </w:pPr>
            <w:r w:rsidRPr="00B17C92">
              <w:rPr>
                <w:rFonts w:cstheme="minorHAnsi"/>
                <w:sz w:val="24"/>
                <w:szCs w:val="24"/>
              </w:rPr>
              <w:t>Supplier Data</w:t>
            </w:r>
          </w:p>
        </w:tc>
      </w:tr>
      <w:tr w:rsidR="00BD050D" w:rsidRPr="00BD050D" w14:paraId="6ECD5E38" w14:textId="77777777" w:rsidTr="00A55CDD">
        <w:tc>
          <w:tcPr>
            <w:tcW w:w="1098" w:type="dxa"/>
          </w:tcPr>
          <w:p w14:paraId="45A2D602" w14:textId="7738948B" w:rsidR="0032707C" w:rsidRPr="00B17C92" w:rsidRDefault="005D132C" w:rsidP="00A55CDD">
            <w:pPr>
              <w:spacing w:before="0"/>
              <w:ind w:right="438"/>
              <w:rPr>
                <w:rFonts w:cstheme="minorHAnsi"/>
                <w:sz w:val="24"/>
                <w:szCs w:val="24"/>
              </w:rPr>
            </w:pPr>
            <w:r w:rsidRPr="00B17C92">
              <w:rPr>
                <w:rFonts w:cstheme="minorHAnsi"/>
                <w:sz w:val="24"/>
                <w:szCs w:val="24"/>
              </w:rPr>
              <w:t xml:space="preserve">  </w:t>
            </w:r>
            <w:r w:rsidR="0032707C" w:rsidRPr="00B17C92">
              <w:rPr>
                <w:rFonts w:cstheme="minorHAnsi"/>
                <w:sz w:val="24"/>
                <w:szCs w:val="24"/>
              </w:rPr>
              <w:t>4.3</w:t>
            </w:r>
          </w:p>
        </w:tc>
        <w:tc>
          <w:tcPr>
            <w:tcW w:w="5737" w:type="dxa"/>
          </w:tcPr>
          <w:p w14:paraId="12F8D343" w14:textId="77777777" w:rsidR="0032707C" w:rsidRPr="00B17C92" w:rsidRDefault="0032707C" w:rsidP="00A55CDD">
            <w:pPr>
              <w:spacing w:before="0"/>
              <w:rPr>
                <w:rFonts w:cstheme="minorHAnsi"/>
                <w:sz w:val="24"/>
                <w:szCs w:val="24"/>
              </w:rPr>
            </w:pPr>
            <w:r w:rsidRPr="00B17C92">
              <w:rPr>
                <w:rFonts w:cstheme="minorHAnsi"/>
                <w:sz w:val="24"/>
                <w:szCs w:val="24"/>
              </w:rPr>
              <w:t xml:space="preserve">      Calculation of Substance Mass</w:t>
            </w:r>
          </w:p>
        </w:tc>
      </w:tr>
      <w:tr w:rsidR="00BD050D" w:rsidRPr="00BD050D" w14:paraId="3900A995" w14:textId="77777777" w:rsidTr="00A55CDD">
        <w:tc>
          <w:tcPr>
            <w:tcW w:w="1098" w:type="dxa"/>
          </w:tcPr>
          <w:p w14:paraId="57A482FA" w14:textId="77777777" w:rsidR="0032707C" w:rsidRPr="00B17C92" w:rsidRDefault="0032707C" w:rsidP="00A55CDD">
            <w:pPr>
              <w:spacing w:before="0"/>
              <w:ind w:right="438"/>
              <w:rPr>
                <w:rFonts w:cstheme="minorHAnsi"/>
                <w:sz w:val="24"/>
                <w:szCs w:val="24"/>
              </w:rPr>
            </w:pPr>
            <w:r w:rsidRPr="00B17C92">
              <w:rPr>
                <w:rFonts w:cstheme="minorHAnsi"/>
                <w:sz w:val="24"/>
                <w:szCs w:val="24"/>
              </w:rPr>
              <w:t>5</w:t>
            </w:r>
          </w:p>
        </w:tc>
        <w:tc>
          <w:tcPr>
            <w:tcW w:w="5737" w:type="dxa"/>
          </w:tcPr>
          <w:p w14:paraId="5D419BBE" w14:textId="182B9400" w:rsidR="0032707C" w:rsidRPr="00B17C92" w:rsidRDefault="0032707C" w:rsidP="00A55CDD">
            <w:pPr>
              <w:spacing w:before="0"/>
              <w:rPr>
                <w:rFonts w:cstheme="minorHAnsi"/>
                <w:sz w:val="24"/>
                <w:szCs w:val="24"/>
              </w:rPr>
            </w:pPr>
            <w:r w:rsidRPr="00B17C92">
              <w:rPr>
                <w:rFonts w:cstheme="minorHAnsi"/>
                <w:sz w:val="24"/>
                <w:szCs w:val="24"/>
              </w:rPr>
              <w:t>Definitions</w:t>
            </w:r>
            <w:r w:rsidR="00D05C67" w:rsidRPr="00B17C92">
              <w:rPr>
                <w:rFonts w:cstheme="minorHAnsi"/>
                <w:sz w:val="24"/>
                <w:szCs w:val="24"/>
              </w:rPr>
              <w:t xml:space="preserve"> and References</w:t>
            </w:r>
          </w:p>
        </w:tc>
      </w:tr>
      <w:tr w:rsidR="00BD050D" w:rsidRPr="00BD050D" w14:paraId="6018F557" w14:textId="77777777" w:rsidTr="00A55CDD">
        <w:tc>
          <w:tcPr>
            <w:tcW w:w="1098" w:type="dxa"/>
          </w:tcPr>
          <w:p w14:paraId="52632CEC" w14:textId="592ABCAA" w:rsidR="00D05C67" w:rsidRPr="00B17C92" w:rsidRDefault="00F53382" w:rsidP="00A55CDD">
            <w:pPr>
              <w:spacing w:before="0"/>
              <w:ind w:right="438"/>
              <w:rPr>
                <w:rFonts w:cstheme="minorHAnsi"/>
                <w:sz w:val="24"/>
                <w:szCs w:val="24"/>
              </w:rPr>
            </w:pPr>
            <w:r w:rsidRPr="00B17C92">
              <w:rPr>
                <w:rFonts w:cstheme="minorHAnsi"/>
                <w:sz w:val="24"/>
                <w:szCs w:val="24"/>
              </w:rPr>
              <w:t>5.1</w:t>
            </w:r>
          </w:p>
        </w:tc>
        <w:tc>
          <w:tcPr>
            <w:tcW w:w="5737" w:type="dxa"/>
          </w:tcPr>
          <w:p w14:paraId="41BF39CB" w14:textId="5F1A959F" w:rsidR="00D05C67" w:rsidRPr="00B17C92" w:rsidRDefault="00F53382" w:rsidP="00A55CDD">
            <w:pPr>
              <w:spacing w:before="0"/>
              <w:rPr>
                <w:rFonts w:cstheme="minorHAnsi"/>
                <w:sz w:val="24"/>
                <w:szCs w:val="24"/>
              </w:rPr>
            </w:pPr>
            <w:r w:rsidRPr="00B17C92">
              <w:rPr>
                <w:rFonts w:cstheme="minorHAnsi"/>
                <w:sz w:val="24"/>
                <w:szCs w:val="24"/>
              </w:rPr>
              <w:t xml:space="preserve">      Definitions</w:t>
            </w:r>
          </w:p>
        </w:tc>
      </w:tr>
      <w:tr w:rsidR="00BD050D" w:rsidRPr="00BD050D" w14:paraId="387848DE" w14:textId="77777777" w:rsidTr="00A55CDD">
        <w:tc>
          <w:tcPr>
            <w:tcW w:w="1098" w:type="dxa"/>
          </w:tcPr>
          <w:p w14:paraId="7EE1BF19" w14:textId="364CF640" w:rsidR="00D05C67" w:rsidRPr="00B17C92" w:rsidRDefault="00F53382" w:rsidP="00A55CDD">
            <w:pPr>
              <w:spacing w:before="0"/>
              <w:ind w:right="438"/>
              <w:rPr>
                <w:rFonts w:cstheme="minorHAnsi"/>
                <w:sz w:val="24"/>
                <w:szCs w:val="24"/>
              </w:rPr>
            </w:pPr>
            <w:r w:rsidRPr="00B17C92">
              <w:rPr>
                <w:rFonts w:cstheme="minorHAnsi"/>
                <w:sz w:val="24"/>
                <w:szCs w:val="24"/>
              </w:rPr>
              <w:t>5.2</w:t>
            </w:r>
          </w:p>
        </w:tc>
        <w:tc>
          <w:tcPr>
            <w:tcW w:w="5737" w:type="dxa"/>
          </w:tcPr>
          <w:p w14:paraId="356D2D86" w14:textId="0B809681" w:rsidR="00D05C67" w:rsidRPr="00B17C92" w:rsidRDefault="00F53382" w:rsidP="00A55CDD">
            <w:pPr>
              <w:spacing w:before="0"/>
              <w:rPr>
                <w:rFonts w:cstheme="minorHAnsi"/>
                <w:sz w:val="24"/>
                <w:szCs w:val="24"/>
              </w:rPr>
            </w:pPr>
            <w:r w:rsidRPr="00B17C92">
              <w:rPr>
                <w:rFonts w:cstheme="minorHAnsi"/>
                <w:sz w:val="24"/>
                <w:szCs w:val="24"/>
              </w:rPr>
              <w:t xml:space="preserve">      Regulatory References</w:t>
            </w:r>
          </w:p>
        </w:tc>
      </w:tr>
      <w:tr w:rsidR="00BD050D" w:rsidRPr="00BD050D" w14:paraId="0A8051CE" w14:textId="77777777" w:rsidTr="00A55CDD">
        <w:tc>
          <w:tcPr>
            <w:tcW w:w="1098" w:type="dxa"/>
          </w:tcPr>
          <w:p w14:paraId="69767FA2" w14:textId="77777777" w:rsidR="0032707C" w:rsidRPr="00B17C92" w:rsidRDefault="0032707C" w:rsidP="00A55CDD">
            <w:pPr>
              <w:spacing w:before="0"/>
              <w:ind w:right="438"/>
              <w:rPr>
                <w:rFonts w:cstheme="minorHAnsi"/>
                <w:sz w:val="24"/>
                <w:szCs w:val="24"/>
              </w:rPr>
            </w:pPr>
          </w:p>
        </w:tc>
        <w:tc>
          <w:tcPr>
            <w:tcW w:w="5737" w:type="dxa"/>
          </w:tcPr>
          <w:p w14:paraId="020B6723" w14:textId="7422C2C4" w:rsidR="0032707C" w:rsidRPr="00B17C92" w:rsidRDefault="00613652" w:rsidP="00A55CDD">
            <w:pPr>
              <w:spacing w:before="0"/>
              <w:rPr>
                <w:rFonts w:cstheme="minorHAnsi"/>
                <w:sz w:val="24"/>
                <w:szCs w:val="24"/>
              </w:rPr>
            </w:pPr>
            <w:r w:rsidRPr="00B17C92">
              <w:rPr>
                <w:rFonts w:cstheme="minorHAnsi"/>
                <w:sz w:val="24"/>
                <w:szCs w:val="24"/>
              </w:rPr>
              <w:t xml:space="preserve">    </w:t>
            </w:r>
            <w:r w:rsidR="0032707C" w:rsidRPr="00B17C92">
              <w:rPr>
                <w:rFonts w:cstheme="minorHAnsi"/>
                <w:sz w:val="24"/>
                <w:szCs w:val="24"/>
              </w:rPr>
              <w:t xml:space="preserve">Appendix </w:t>
            </w:r>
          </w:p>
        </w:tc>
      </w:tr>
      <w:tr w:rsidR="00BD050D" w:rsidRPr="00BD050D" w14:paraId="7D02D32B" w14:textId="77777777" w:rsidTr="00A55CDD">
        <w:tc>
          <w:tcPr>
            <w:tcW w:w="1098" w:type="dxa"/>
          </w:tcPr>
          <w:p w14:paraId="77CF0621" w14:textId="3CBACF8E" w:rsidR="0032707C" w:rsidRPr="00B17C92" w:rsidRDefault="0032707C" w:rsidP="00A55CDD">
            <w:pPr>
              <w:spacing w:before="0"/>
              <w:ind w:right="438"/>
              <w:rPr>
                <w:rFonts w:cstheme="minorHAnsi"/>
                <w:sz w:val="24"/>
                <w:szCs w:val="24"/>
              </w:rPr>
            </w:pPr>
            <w:r w:rsidRPr="00B17C92">
              <w:rPr>
                <w:rFonts w:cstheme="minorHAnsi"/>
                <w:sz w:val="24"/>
                <w:szCs w:val="24"/>
              </w:rPr>
              <w:t>A.1</w:t>
            </w:r>
          </w:p>
        </w:tc>
        <w:tc>
          <w:tcPr>
            <w:tcW w:w="5737" w:type="dxa"/>
          </w:tcPr>
          <w:p w14:paraId="5C2B1CF5" w14:textId="77777777" w:rsidR="0032707C" w:rsidRPr="00B17C92" w:rsidRDefault="0032707C" w:rsidP="00A55CDD">
            <w:pPr>
              <w:spacing w:before="0"/>
              <w:rPr>
                <w:rFonts w:cstheme="minorHAnsi"/>
                <w:sz w:val="24"/>
                <w:szCs w:val="24"/>
              </w:rPr>
            </w:pPr>
            <w:r w:rsidRPr="00B17C92">
              <w:rPr>
                <w:rFonts w:cstheme="minorHAnsi"/>
                <w:sz w:val="24"/>
                <w:szCs w:val="24"/>
              </w:rPr>
              <w:t>IPC-1754 Features &amp; Data Elements</w:t>
            </w:r>
          </w:p>
        </w:tc>
      </w:tr>
      <w:tr w:rsidR="00BD050D" w:rsidRPr="00BD050D" w14:paraId="07A10852" w14:textId="77777777" w:rsidTr="00A55CDD">
        <w:tc>
          <w:tcPr>
            <w:tcW w:w="1098" w:type="dxa"/>
          </w:tcPr>
          <w:p w14:paraId="706C1599" w14:textId="590F6608" w:rsidR="0032707C" w:rsidRPr="00B17C92" w:rsidRDefault="005D132C" w:rsidP="00A55CDD">
            <w:pPr>
              <w:spacing w:before="0"/>
              <w:ind w:right="168"/>
              <w:rPr>
                <w:rFonts w:cstheme="minorHAnsi"/>
                <w:sz w:val="24"/>
                <w:szCs w:val="24"/>
              </w:rPr>
            </w:pPr>
            <w:r w:rsidRPr="00B17C92">
              <w:rPr>
                <w:rFonts w:cstheme="minorHAnsi"/>
                <w:sz w:val="24"/>
                <w:szCs w:val="24"/>
              </w:rPr>
              <w:t xml:space="preserve">  </w:t>
            </w:r>
            <w:r w:rsidR="0032707C" w:rsidRPr="00B17C92">
              <w:rPr>
                <w:rFonts w:cstheme="minorHAnsi"/>
                <w:sz w:val="24"/>
                <w:szCs w:val="24"/>
              </w:rPr>
              <w:t>A1.1</w:t>
            </w:r>
          </w:p>
        </w:tc>
        <w:tc>
          <w:tcPr>
            <w:tcW w:w="5737" w:type="dxa"/>
          </w:tcPr>
          <w:p w14:paraId="7D858DE2" w14:textId="77777777" w:rsidR="0032707C" w:rsidRPr="00B17C92" w:rsidRDefault="0032707C" w:rsidP="00A55CDD">
            <w:pPr>
              <w:spacing w:before="0"/>
              <w:ind w:left="348"/>
              <w:jc w:val="both"/>
              <w:rPr>
                <w:rFonts w:cstheme="minorHAnsi"/>
                <w:sz w:val="24"/>
                <w:szCs w:val="24"/>
              </w:rPr>
            </w:pPr>
            <w:r w:rsidRPr="00B17C92">
              <w:rPr>
                <w:rFonts w:cstheme="minorHAnsi"/>
                <w:sz w:val="24"/>
                <w:szCs w:val="24"/>
              </w:rPr>
              <w:t>Declarable Substance List</w:t>
            </w:r>
          </w:p>
        </w:tc>
      </w:tr>
      <w:tr w:rsidR="00BD050D" w:rsidRPr="00BD050D" w14:paraId="0E796177" w14:textId="77777777" w:rsidTr="00A55CDD">
        <w:tc>
          <w:tcPr>
            <w:tcW w:w="1098" w:type="dxa"/>
          </w:tcPr>
          <w:p w14:paraId="47C8F6F3" w14:textId="6C50ED75" w:rsidR="0032707C" w:rsidRPr="00B17C92" w:rsidRDefault="005D132C" w:rsidP="00A55CDD">
            <w:pPr>
              <w:spacing w:before="0"/>
              <w:ind w:right="168"/>
              <w:rPr>
                <w:rFonts w:cstheme="minorHAnsi"/>
                <w:sz w:val="24"/>
                <w:szCs w:val="24"/>
              </w:rPr>
            </w:pPr>
            <w:r w:rsidRPr="00B17C92">
              <w:rPr>
                <w:rFonts w:cstheme="minorHAnsi"/>
                <w:sz w:val="24"/>
                <w:szCs w:val="24"/>
              </w:rPr>
              <w:t xml:space="preserve">  </w:t>
            </w:r>
            <w:r w:rsidR="0032707C" w:rsidRPr="00B17C92">
              <w:rPr>
                <w:rFonts w:cstheme="minorHAnsi"/>
                <w:sz w:val="24"/>
                <w:szCs w:val="24"/>
              </w:rPr>
              <w:t>A1.2</w:t>
            </w:r>
          </w:p>
        </w:tc>
        <w:tc>
          <w:tcPr>
            <w:tcW w:w="5737" w:type="dxa"/>
          </w:tcPr>
          <w:p w14:paraId="03B694DC" w14:textId="77777777" w:rsidR="0032707C" w:rsidRPr="00B17C92" w:rsidRDefault="0032707C" w:rsidP="00A55CDD">
            <w:pPr>
              <w:spacing w:before="0"/>
              <w:ind w:left="348"/>
              <w:rPr>
                <w:rFonts w:cstheme="minorHAnsi"/>
                <w:sz w:val="24"/>
                <w:szCs w:val="24"/>
              </w:rPr>
            </w:pPr>
            <w:r w:rsidRPr="00B17C92">
              <w:rPr>
                <w:rFonts w:cstheme="minorHAnsi"/>
                <w:sz w:val="24"/>
                <w:szCs w:val="24"/>
              </w:rPr>
              <w:t>Query Lists</w:t>
            </w:r>
          </w:p>
        </w:tc>
      </w:tr>
      <w:tr w:rsidR="00BD050D" w:rsidRPr="00BD050D" w14:paraId="3133D2E1" w14:textId="77777777" w:rsidTr="00A55CDD">
        <w:tc>
          <w:tcPr>
            <w:tcW w:w="1098" w:type="dxa"/>
          </w:tcPr>
          <w:p w14:paraId="619CC5C8" w14:textId="1B3A4B32" w:rsidR="0032707C" w:rsidRPr="00B17C92" w:rsidRDefault="005D132C" w:rsidP="00A55CDD">
            <w:pPr>
              <w:spacing w:before="0"/>
              <w:ind w:right="168"/>
              <w:rPr>
                <w:rFonts w:cstheme="minorHAnsi"/>
                <w:sz w:val="24"/>
                <w:szCs w:val="24"/>
              </w:rPr>
            </w:pPr>
            <w:r w:rsidRPr="00B17C92">
              <w:rPr>
                <w:rFonts w:cstheme="minorHAnsi"/>
                <w:sz w:val="24"/>
                <w:szCs w:val="24"/>
              </w:rPr>
              <w:t xml:space="preserve">  </w:t>
            </w:r>
            <w:r w:rsidR="0032707C" w:rsidRPr="00B17C92">
              <w:rPr>
                <w:rFonts w:cstheme="minorHAnsi"/>
                <w:sz w:val="24"/>
                <w:szCs w:val="24"/>
              </w:rPr>
              <w:t>A1.3</w:t>
            </w:r>
          </w:p>
        </w:tc>
        <w:tc>
          <w:tcPr>
            <w:tcW w:w="5737" w:type="dxa"/>
          </w:tcPr>
          <w:p w14:paraId="565C624C" w14:textId="77777777" w:rsidR="0032707C" w:rsidRPr="00B17C92" w:rsidRDefault="0032707C" w:rsidP="00A55CDD">
            <w:pPr>
              <w:spacing w:before="0"/>
              <w:ind w:left="348"/>
              <w:rPr>
                <w:rFonts w:cstheme="minorHAnsi"/>
                <w:sz w:val="24"/>
                <w:szCs w:val="24"/>
              </w:rPr>
            </w:pPr>
            <w:r w:rsidRPr="00B17C92">
              <w:rPr>
                <w:rFonts w:cstheme="minorHAnsi"/>
                <w:sz w:val="24"/>
                <w:szCs w:val="24"/>
              </w:rPr>
              <w:t>Material / Substance Use Descriptions</w:t>
            </w:r>
          </w:p>
        </w:tc>
      </w:tr>
      <w:tr w:rsidR="00BD050D" w:rsidRPr="00BD050D" w14:paraId="7A2926A9" w14:textId="77777777" w:rsidTr="00A55CDD">
        <w:tc>
          <w:tcPr>
            <w:tcW w:w="1098" w:type="dxa"/>
          </w:tcPr>
          <w:p w14:paraId="7780566A" w14:textId="2C028B1B" w:rsidR="00147844" w:rsidRPr="00B17C92" w:rsidRDefault="00147844" w:rsidP="00FB2835">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4</w:t>
            </w:r>
          </w:p>
        </w:tc>
        <w:tc>
          <w:tcPr>
            <w:tcW w:w="5737" w:type="dxa"/>
          </w:tcPr>
          <w:p w14:paraId="11801819" w14:textId="249BD746" w:rsidR="00147844" w:rsidRPr="00B17C92" w:rsidRDefault="00147844" w:rsidP="00FB2835">
            <w:pPr>
              <w:spacing w:before="0"/>
              <w:ind w:left="348"/>
              <w:rPr>
                <w:rFonts w:cstheme="minorHAnsi"/>
                <w:sz w:val="24"/>
                <w:szCs w:val="24"/>
              </w:rPr>
            </w:pPr>
            <w:r w:rsidRPr="00B17C92">
              <w:rPr>
                <w:rFonts w:cstheme="minorHAnsi"/>
                <w:sz w:val="24"/>
                <w:szCs w:val="24"/>
              </w:rPr>
              <w:t>Substance Group</w:t>
            </w:r>
          </w:p>
        </w:tc>
      </w:tr>
      <w:tr w:rsidR="00BD050D" w:rsidRPr="00BD050D" w14:paraId="78105027" w14:textId="77777777" w:rsidTr="00A55CDD">
        <w:tc>
          <w:tcPr>
            <w:tcW w:w="1098" w:type="dxa"/>
          </w:tcPr>
          <w:p w14:paraId="24C0C2E9" w14:textId="144158DC" w:rsidR="00684281" w:rsidRPr="00B17C92" w:rsidRDefault="00684281" w:rsidP="00684281">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5</w:t>
            </w:r>
          </w:p>
        </w:tc>
        <w:tc>
          <w:tcPr>
            <w:tcW w:w="5737" w:type="dxa"/>
          </w:tcPr>
          <w:p w14:paraId="120229F5" w14:textId="44AF5BDD" w:rsidR="00684281" w:rsidRPr="00B17C92" w:rsidRDefault="00684281" w:rsidP="00684281">
            <w:pPr>
              <w:spacing w:before="0"/>
              <w:ind w:left="348"/>
              <w:rPr>
                <w:rFonts w:cstheme="minorHAnsi"/>
                <w:sz w:val="24"/>
                <w:szCs w:val="24"/>
              </w:rPr>
            </w:pPr>
            <w:r w:rsidRPr="00B17C92">
              <w:rPr>
                <w:rFonts w:cstheme="minorHAnsi"/>
                <w:sz w:val="24"/>
                <w:szCs w:val="24"/>
              </w:rPr>
              <w:t>Exemption Reporting</w:t>
            </w:r>
          </w:p>
        </w:tc>
      </w:tr>
      <w:tr w:rsidR="00BD050D" w:rsidRPr="00BD050D" w14:paraId="74F0A70E" w14:textId="77777777" w:rsidTr="00A55CDD">
        <w:tc>
          <w:tcPr>
            <w:tcW w:w="1098" w:type="dxa"/>
          </w:tcPr>
          <w:p w14:paraId="1178BA9C" w14:textId="1338253E" w:rsidR="00684281" w:rsidRPr="00B17C92" w:rsidRDefault="00684281" w:rsidP="00684281">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6</w:t>
            </w:r>
          </w:p>
        </w:tc>
        <w:tc>
          <w:tcPr>
            <w:tcW w:w="5737" w:type="dxa"/>
          </w:tcPr>
          <w:p w14:paraId="5F9BBEB9" w14:textId="190FF8DF" w:rsidR="00684281" w:rsidRPr="00B17C92" w:rsidRDefault="00684281" w:rsidP="00684281">
            <w:pPr>
              <w:spacing w:before="0"/>
              <w:ind w:left="348"/>
              <w:rPr>
                <w:rFonts w:cstheme="minorHAnsi"/>
                <w:sz w:val="24"/>
                <w:szCs w:val="24"/>
              </w:rPr>
            </w:pPr>
            <w:r w:rsidRPr="00B17C92">
              <w:rPr>
                <w:rFonts w:cstheme="minorHAnsi"/>
                <w:sz w:val="24"/>
                <w:szCs w:val="24"/>
              </w:rPr>
              <w:t>Product vs Subproduct</w:t>
            </w:r>
          </w:p>
        </w:tc>
      </w:tr>
      <w:tr w:rsidR="00BD050D" w:rsidRPr="00BD050D" w14:paraId="7B1C2C79" w14:textId="77777777" w:rsidTr="00A55CDD">
        <w:tc>
          <w:tcPr>
            <w:tcW w:w="1098" w:type="dxa"/>
          </w:tcPr>
          <w:p w14:paraId="2C2DD057" w14:textId="5B57E258" w:rsidR="00684281" w:rsidRPr="00B17C92" w:rsidRDefault="00684281" w:rsidP="00684281">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7</w:t>
            </w:r>
          </w:p>
        </w:tc>
        <w:tc>
          <w:tcPr>
            <w:tcW w:w="5737" w:type="dxa"/>
          </w:tcPr>
          <w:p w14:paraId="749E61D5" w14:textId="77777777" w:rsidR="00684281" w:rsidRPr="00B17C92" w:rsidRDefault="00684281" w:rsidP="00684281">
            <w:pPr>
              <w:spacing w:before="0"/>
              <w:ind w:left="348"/>
              <w:rPr>
                <w:rFonts w:cstheme="minorHAnsi"/>
                <w:sz w:val="24"/>
                <w:szCs w:val="24"/>
              </w:rPr>
            </w:pPr>
            <w:r w:rsidRPr="00B17C92">
              <w:rPr>
                <w:rFonts w:cstheme="minorHAnsi"/>
                <w:sz w:val="24"/>
                <w:szCs w:val="24"/>
              </w:rPr>
              <w:t>Incomplete Declaration Information</w:t>
            </w:r>
          </w:p>
        </w:tc>
      </w:tr>
      <w:tr w:rsidR="00BD050D" w:rsidRPr="00BD050D" w14:paraId="460702D1" w14:textId="77777777" w:rsidTr="00A55CDD">
        <w:tc>
          <w:tcPr>
            <w:tcW w:w="1098" w:type="dxa"/>
          </w:tcPr>
          <w:p w14:paraId="02E32728" w14:textId="09220A41" w:rsidR="00684281" w:rsidRPr="00B17C92" w:rsidRDefault="00684281" w:rsidP="00684281">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8</w:t>
            </w:r>
          </w:p>
        </w:tc>
        <w:tc>
          <w:tcPr>
            <w:tcW w:w="5737" w:type="dxa"/>
          </w:tcPr>
          <w:p w14:paraId="5F61CD1F" w14:textId="77777777" w:rsidR="00684281" w:rsidRPr="00B17C92" w:rsidRDefault="00684281" w:rsidP="00684281">
            <w:pPr>
              <w:spacing w:before="0"/>
              <w:ind w:left="348"/>
              <w:rPr>
                <w:rFonts w:cstheme="minorHAnsi"/>
                <w:sz w:val="24"/>
                <w:szCs w:val="24"/>
              </w:rPr>
            </w:pPr>
            <w:r w:rsidRPr="00B17C92">
              <w:rPr>
                <w:rFonts w:cstheme="minorHAnsi"/>
                <w:sz w:val="24"/>
                <w:szCs w:val="24"/>
              </w:rPr>
              <w:t>Full Substance Declaration</w:t>
            </w:r>
          </w:p>
        </w:tc>
      </w:tr>
      <w:tr w:rsidR="00BD050D" w:rsidRPr="00BD050D" w14:paraId="71A42D89" w14:textId="77777777" w:rsidTr="00A55CDD">
        <w:tc>
          <w:tcPr>
            <w:tcW w:w="1098" w:type="dxa"/>
          </w:tcPr>
          <w:p w14:paraId="1603F3A1" w14:textId="09FC6C53" w:rsidR="00684281" w:rsidRPr="00B17C92" w:rsidRDefault="00684281" w:rsidP="00684281">
            <w:pPr>
              <w:spacing w:before="0"/>
              <w:ind w:right="168"/>
              <w:rPr>
                <w:rFonts w:cstheme="minorHAnsi"/>
                <w:sz w:val="24"/>
                <w:szCs w:val="24"/>
              </w:rPr>
            </w:pPr>
            <w:r w:rsidRPr="00B17C92">
              <w:rPr>
                <w:rFonts w:cstheme="minorHAnsi"/>
                <w:sz w:val="24"/>
                <w:szCs w:val="24"/>
              </w:rPr>
              <w:t xml:space="preserve">  A1.</w:t>
            </w:r>
            <w:r w:rsidR="005F4625" w:rsidRPr="00B17C92">
              <w:rPr>
                <w:rFonts w:cstheme="minorHAnsi"/>
                <w:sz w:val="24"/>
                <w:szCs w:val="24"/>
              </w:rPr>
              <w:t>9</w:t>
            </w:r>
          </w:p>
        </w:tc>
        <w:tc>
          <w:tcPr>
            <w:tcW w:w="5737" w:type="dxa"/>
          </w:tcPr>
          <w:p w14:paraId="30A629F3" w14:textId="77777777" w:rsidR="00684281" w:rsidRPr="00B17C92" w:rsidRDefault="00684281" w:rsidP="00684281">
            <w:pPr>
              <w:spacing w:before="0"/>
              <w:ind w:left="348"/>
              <w:rPr>
                <w:rFonts w:cstheme="minorHAnsi"/>
                <w:sz w:val="24"/>
                <w:szCs w:val="24"/>
              </w:rPr>
            </w:pPr>
            <w:r w:rsidRPr="00B17C92">
              <w:rPr>
                <w:rFonts w:cstheme="minorHAnsi"/>
                <w:sz w:val="24"/>
                <w:szCs w:val="24"/>
              </w:rPr>
              <w:t>Request/Reply vs Distribute Declarations</w:t>
            </w:r>
          </w:p>
        </w:tc>
      </w:tr>
      <w:tr w:rsidR="00BD050D" w:rsidRPr="00BD050D" w14:paraId="5CD4D505" w14:textId="77777777" w:rsidTr="00A55CDD">
        <w:tc>
          <w:tcPr>
            <w:tcW w:w="1098" w:type="dxa"/>
          </w:tcPr>
          <w:p w14:paraId="4273CDF1" w14:textId="0FC683D8" w:rsidR="00684281" w:rsidRPr="00B17C92" w:rsidRDefault="00684281" w:rsidP="00684281">
            <w:pPr>
              <w:spacing w:before="0"/>
              <w:ind w:right="438"/>
              <w:rPr>
                <w:rFonts w:cstheme="minorHAnsi"/>
                <w:sz w:val="24"/>
                <w:szCs w:val="24"/>
              </w:rPr>
            </w:pPr>
            <w:r w:rsidRPr="00B17C92">
              <w:rPr>
                <w:rFonts w:cstheme="minorHAnsi"/>
                <w:sz w:val="24"/>
                <w:szCs w:val="24"/>
              </w:rPr>
              <w:t>A.2</w:t>
            </w:r>
          </w:p>
        </w:tc>
        <w:tc>
          <w:tcPr>
            <w:tcW w:w="5737" w:type="dxa"/>
          </w:tcPr>
          <w:p w14:paraId="6FB0630D" w14:textId="77777777" w:rsidR="00684281" w:rsidRPr="00B17C92" w:rsidRDefault="00684281" w:rsidP="00684281">
            <w:pPr>
              <w:spacing w:before="0"/>
              <w:ind w:left="348"/>
              <w:rPr>
                <w:rFonts w:cstheme="minorHAnsi"/>
                <w:sz w:val="24"/>
                <w:szCs w:val="24"/>
              </w:rPr>
            </w:pPr>
            <w:r w:rsidRPr="00B17C92">
              <w:rPr>
                <w:rFonts w:cstheme="minorHAnsi"/>
                <w:sz w:val="24"/>
                <w:szCs w:val="24"/>
              </w:rPr>
              <w:t>Substance in Process Declarations</w:t>
            </w:r>
          </w:p>
        </w:tc>
      </w:tr>
      <w:tr w:rsidR="00BD050D" w:rsidRPr="00BD050D" w14:paraId="4F428CCE" w14:textId="77777777" w:rsidTr="00A55CDD">
        <w:tc>
          <w:tcPr>
            <w:tcW w:w="1098" w:type="dxa"/>
          </w:tcPr>
          <w:p w14:paraId="6BFCFED9" w14:textId="5BF48334" w:rsidR="00684281" w:rsidRPr="00B17C92" w:rsidRDefault="00684281" w:rsidP="00684281">
            <w:pPr>
              <w:spacing w:before="0"/>
              <w:ind w:right="438"/>
              <w:rPr>
                <w:rFonts w:cstheme="minorHAnsi"/>
                <w:sz w:val="24"/>
                <w:szCs w:val="24"/>
              </w:rPr>
            </w:pPr>
            <w:r w:rsidRPr="00B17C92">
              <w:rPr>
                <w:rFonts w:cstheme="minorHAnsi"/>
                <w:sz w:val="24"/>
                <w:szCs w:val="24"/>
              </w:rPr>
              <w:t>A.3</w:t>
            </w:r>
          </w:p>
        </w:tc>
        <w:tc>
          <w:tcPr>
            <w:tcW w:w="5737" w:type="dxa"/>
          </w:tcPr>
          <w:p w14:paraId="63C9C976" w14:textId="77777777" w:rsidR="00684281" w:rsidRPr="00B17C92" w:rsidRDefault="00684281" w:rsidP="00684281">
            <w:pPr>
              <w:spacing w:before="0"/>
              <w:ind w:left="348"/>
              <w:rPr>
                <w:rFonts w:cstheme="minorHAnsi"/>
                <w:sz w:val="24"/>
                <w:szCs w:val="24"/>
              </w:rPr>
            </w:pPr>
            <w:r w:rsidRPr="00B17C92">
              <w:rPr>
                <w:rFonts w:cstheme="minorHAnsi"/>
                <w:sz w:val="24"/>
                <w:szCs w:val="24"/>
              </w:rPr>
              <w:t>Reporting REACH SVHCs in a Declaration</w:t>
            </w:r>
          </w:p>
        </w:tc>
      </w:tr>
      <w:tr w:rsidR="00684281" w:rsidRPr="00BD050D" w14:paraId="01CAA5B5" w14:textId="77777777" w:rsidTr="00A55CDD">
        <w:tc>
          <w:tcPr>
            <w:tcW w:w="1098" w:type="dxa"/>
          </w:tcPr>
          <w:p w14:paraId="4720ABFA" w14:textId="771F81B0" w:rsidR="00684281" w:rsidRPr="00B17C92" w:rsidRDefault="00684281" w:rsidP="00684281">
            <w:pPr>
              <w:spacing w:before="0"/>
              <w:ind w:right="438"/>
              <w:rPr>
                <w:rFonts w:cstheme="minorHAnsi"/>
                <w:sz w:val="24"/>
                <w:szCs w:val="24"/>
              </w:rPr>
            </w:pPr>
            <w:r w:rsidRPr="00B17C92">
              <w:rPr>
                <w:rFonts w:cstheme="minorHAnsi"/>
                <w:sz w:val="24"/>
                <w:szCs w:val="24"/>
              </w:rPr>
              <w:t>A.4</w:t>
            </w:r>
          </w:p>
        </w:tc>
        <w:tc>
          <w:tcPr>
            <w:tcW w:w="5737" w:type="dxa"/>
          </w:tcPr>
          <w:p w14:paraId="4B727A4C" w14:textId="77777777" w:rsidR="00684281" w:rsidRPr="00B17C92" w:rsidRDefault="00684281" w:rsidP="00684281">
            <w:pPr>
              <w:spacing w:before="0"/>
              <w:ind w:left="348"/>
              <w:rPr>
                <w:rFonts w:cstheme="minorHAnsi"/>
                <w:sz w:val="24"/>
                <w:szCs w:val="24"/>
              </w:rPr>
            </w:pPr>
            <w:r w:rsidRPr="00B17C92">
              <w:rPr>
                <w:rFonts w:cstheme="minorHAnsi"/>
                <w:sz w:val="24"/>
                <w:szCs w:val="24"/>
              </w:rPr>
              <w:t>Reporting for SCIP</w:t>
            </w:r>
          </w:p>
        </w:tc>
      </w:tr>
    </w:tbl>
    <w:p w14:paraId="792C655F" w14:textId="77777777" w:rsidR="00DA7FEB" w:rsidRPr="00BD050D" w:rsidRDefault="00DA7FEB" w:rsidP="001F648E">
      <w:pPr>
        <w:pStyle w:val="Default"/>
        <w:rPr>
          <w:rFonts w:asciiTheme="minorHAnsi" w:hAnsiTheme="minorHAnsi" w:cstheme="minorHAnsi"/>
          <w:b/>
          <w:bCs/>
          <w:color w:val="auto"/>
          <w:lang w:val="en-US"/>
        </w:rPr>
      </w:pPr>
    </w:p>
    <w:p w14:paraId="1C0F1710" w14:textId="473C9EA8" w:rsidR="00C6026C" w:rsidRPr="00BD050D" w:rsidRDefault="00C6026C" w:rsidP="001F648E">
      <w:pPr>
        <w:pStyle w:val="Default"/>
        <w:rPr>
          <w:rFonts w:asciiTheme="minorHAnsi" w:hAnsiTheme="minorHAnsi" w:cstheme="minorHAnsi"/>
          <w:b/>
          <w:bCs/>
          <w:color w:val="auto"/>
          <w:lang w:val="en-US"/>
        </w:rPr>
      </w:pPr>
    </w:p>
    <w:p w14:paraId="7B9F6526" w14:textId="2CF86601" w:rsidR="001C184C" w:rsidRPr="00BD050D" w:rsidRDefault="001C184C" w:rsidP="001F648E">
      <w:pPr>
        <w:pStyle w:val="Default"/>
        <w:rPr>
          <w:rFonts w:asciiTheme="minorHAnsi" w:hAnsiTheme="minorHAnsi" w:cstheme="minorHAnsi"/>
          <w:b/>
          <w:bCs/>
          <w:color w:val="auto"/>
          <w:lang w:val="en-US"/>
        </w:rPr>
      </w:pPr>
    </w:p>
    <w:p w14:paraId="506E104D" w14:textId="29742EF1" w:rsidR="001C184C" w:rsidRPr="00BD050D" w:rsidRDefault="001C184C" w:rsidP="001F648E">
      <w:pPr>
        <w:pStyle w:val="Default"/>
        <w:rPr>
          <w:rFonts w:asciiTheme="minorHAnsi" w:hAnsiTheme="minorHAnsi" w:cstheme="minorHAnsi"/>
          <w:b/>
          <w:bCs/>
          <w:color w:val="auto"/>
          <w:lang w:val="en-US"/>
        </w:rPr>
      </w:pPr>
    </w:p>
    <w:p w14:paraId="6939ACA3" w14:textId="64A0E84B" w:rsidR="001C184C" w:rsidRPr="00BD050D" w:rsidRDefault="001C184C" w:rsidP="001F648E">
      <w:pPr>
        <w:pStyle w:val="Default"/>
        <w:rPr>
          <w:rFonts w:asciiTheme="minorHAnsi" w:hAnsiTheme="minorHAnsi" w:cstheme="minorHAnsi"/>
          <w:b/>
          <w:bCs/>
          <w:color w:val="auto"/>
          <w:lang w:val="en-US"/>
        </w:rPr>
      </w:pPr>
    </w:p>
    <w:p w14:paraId="0BFC617C" w14:textId="6C349C86" w:rsidR="001C184C" w:rsidRPr="00BD050D" w:rsidRDefault="001C184C" w:rsidP="001F648E">
      <w:pPr>
        <w:pStyle w:val="Default"/>
        <w:rPr>
          <w:rFonts w:asciiTheme="minorHAnsi" w:hAnsiTheme="minorHAnsi" w:cstheme="minorHAnsi"/>
          <w:b/>
          <w:bCs/>
          <w:color w:val="auto"/>
          <w:lang w:val="en-US"/>
        </w:rPr>
      </w:pPr>
    </w:p>
    <w:p w14:paraId="3965AFA6" w14:textId="0D104D99" w:rsidR="001C184C" w:rsidRPr="00BD050D" w:rsidRDefault="001C184C" w:rsidP="001F648E">
      <w:pPr>
        <w:pStyle w:val="Default"/>
        <w:rPr>
          <w:rFonts w:asciiTheme="minorHAnsi" w:hAnsiTheme="minorHAnsi" w:cstheme="minorHAnsi"/>
          <w:b/>
          <w:bCs/>
          <w:color w:val="auto"/>
          <w:lang w:val="en-US"/>
        </w:rPr>
      </w:pPr>
    </w:p>
    <w:p w14:paraId="457D9556" w14:textId="77777777" w:rsidR="001C184C" w:rsidRPr="00BD050D" w:rsidRDefault="001C184C" w:rsidP="001F648E">
      <w:pPr>
        <w:pStyle w:val="Default"/>
        <w:rPr>
          <w:rFonts w:asciiTheme="minorHAnsi" w:hAnsiTheme="minorHAnsi" w:cstheme="minorHAnsi"/>
          <w:b/>
          <w:bCs/>
          <w:color w:val="auto"/>
          <w:lang w:val="en-US"/>
        </w:rPr>
      </w:pPr>
    </w:p>
    <w:p w14:paraId="75F38D28" w14:textId="617C5DA6" w:rsidR="0063323D" w:rsidRPr="00BD050D" w:rsidRDefault="00D22F25" w:rsidP="0063323D">
      <w:pPr>
        <w:pStyle w:val="Default"/>
        <w:rPr>
          <w:rFonts w:asciiTheme="minorHAnsi" w:hAnsiTheme="minorHAnsi" w:cstheme="minorHAnsi"/>
          <w:b/>
          <w:bCs/>
          <w:color w:val="auto"/>
          <w:u w:val="single"/>
          <w:lang w:val="en-US"/>
        </w:rPr>
      </w:pPr>
      <w:r w:rsidRPr="00BD050D">
        <w:rPr>
          <w:rFonts w:asciiTheme="minorHAnsi" w:hAnsiTheme="minorHAnsi" w:cstheme="minorHAnsi"/>
          <w:b/>
          <w:bCs/>
          <w:color w:val="auto"/>
          <w:u w:val="single"/>
          <w:lang w:val="en-US"/>
        </w:rPr>
        <w:t xml:space="preserve">1.0 </w:t>
      </w:r>
      <w:r w:rsidR="0085303D" w:rsidRPr="00BD050D">
        <w:rPr>
          <w:rFonts w:asciiTheme="minorHAnsi" w:hAnsiTheme="minorHAnsi" w:cstheme="minorHAnsi"/>
          <w:b/>
          <w:bCs/>
          <w:color w:val="auto"/>
          <w:u w:val="single"/>
          <w:lang w:val="en-US"/>
        </w:rPr>
        <w:t>Introduction</w:t>
      </w:r>
    </w:p>
    <w:p w14:paraId="1E6085A6" w14:textId="70A8E781" w:rsidR="0018423D" w:rsidRPr="00BD050D" w:rsidRDefault="0018423D" w:rsidP="00E30922">
      <w:pPr>
        <w:rPr>
          <w:rFonts w:cstheme="minorHAnsi"/>
          <w:sz w:val="24"/>
          <w:szCs w:val="24"/>
        </w:rPr>
      </w:pPr>
      <w:r w:rsidRPr="00BD050D">
        <w:rPr>
          <w:rFonts w:cstheme="minorHAnsi"/>
          <w:sz w:val="24"/>
          <w:szCs w:val="24"/>
        </w:rPr>
        <w:t xml:space="preserve">In today’s global economy and the rising number of changing and emerging product-related substance regulatory requirements and material </w:t>
      </w:r>
      <w:r w:rsidR="008D2B65" w:rsidRPr="00BD050D">
        <w:rPr>
          <w:rFonts w:cstheme="minorHAnsi"/>
          <w:sz w:val="24"/>
          <w:szCs w:val="24"/>
        </w:rPr>
        <w:t>obsolescence</w:t>
      </w:r>
      <w:r w:rsidRPr="00BD050D">
        <w:rPr>
          <w:rFonts w:cstheme="minorHAnsi"/>
          <w:sz w:val="24"/>
          <w:szCs w:val="24"/>
        </w:rPr>
        <w:t>, companies and their supply base have an increasing need to obtain and report information about materials and substances contained within their products.</w:t>
      </w:r>
    </w:p>
    <w:p w14:paraId="0B38867C" w14:textId="7EECB3AF" w:rsidR="0018423D" w:rsidRPr="00BD050D" w:rsidRDefault="00E30922" w:rsidP="00E30922">
      <w:pPr>
        <w:rPr>
          <w:rFonts w:cstheme="minorHAnsi"/>
          <w:sz w:val="24"/>
          <w:szCs w:val="24"/>
        </w:rPr>
      </w:pPr>
      <w:r w:rsidRPr="00BD050D">
        <w:rPr>
          <w:rFonts w:cstheme="minorHAnsi"/>
          <w:sz w:val="24"/>
          <w:szCs w:val="24"/>
        </w:rPr>
        <w:t xml:space="preserve">Materials and substances </w:t>
      </w:r>
      <w:r w:rsidR="0018423D" w:rsidRPr="00BD050D">
        <w:rPr>
          <w:rFonts w:cstheme="minorHAnsi"/>
          <w:sz w:val="24"/>
          <w:szCs w:val="24"/>
        </w:rPr>
        <w:t>data exchange</w:t>
      </w:r>
      <w:r w:rsidRPr="00BD050D">
        <w:rPr>
          <w:rFonts w:cstheme="minorHAnsi"/>
          <w:sz w:val="24"/>
          <w:szCs w:val="24"/>
        </w:rPr>
        <w:t xml:space="preserve"> </w:t>
      </w:r>
      <w:r w:rsidR="0018423D" w:rsidRPr="00BD050D">
        <w:rPr>
          <w:rFonts w:cstheme="minorHAnsi"/>
          <w:sz w:val="24"/>
          <w:szCs w:val="24"/>
        </w:rPr>
        <w:t xml:space="preserve">protocols have </w:t>
      </w:r>
      <w:r w:rsidRPr="00BD050D">
        <w:rPr>
          <w:rFonts w:cstheme="minorHAnsi"/>
          <w:sz w:val="24"/>
          <w:szCs w:val="24"/>
        </w:rPr>
        <w:t xml:space="preserve">been established in various industries </w:t>
      </w:r>
      <w:r w:rsidR="0018423D" w:rsidRPr="00BD050D">
        <w:rPr>
          <w:rFonts w:cstheme="minorHAnsi"/>
          <w:sz w:val="24"/>
          <w:szCs w:val="24"/>
        </w:rPr>
        <w:t xml:space="preserve">to facilitate product related substance and material data transaction between customer and suppliers. </w:t>
      </w:r>
      <w:r w:rsidRPr="00BD050D">
        <w:rPr>
          <w:rFonts w:cstheme="minorHAnsi"/>
          <w:sz w:val="24"/>
          <w:szCs w:val="24"/>
        </w:rPr>
        <w:t>Downstream companies then use and interpret this data to manage related risks for product compliance</w:t>
      </w:r>
      <w:r w:rsidR="0018423D" w:rsidRPr="00BD050D">
        <w:rPr>
          <w:rFonts w:cstheme="minorHAnsi"/>
          <w:sz w:val="24"/>
          <w:szCs w:val="24"/>
        </w:rPr>
        <w:t>, environmental safety</w:t>
      </w:r>
      <w:r w:rsidRPr="00BD050D">
        <w:rPr>
          <w:rFonts w:cstheme="minorHAnsi"/>
          <w:sz w:val="24"/>
          <w:szCs w:val="24"/>
        </w:rPr>
        <w:t xml:space="preserve"> and supply chain chemical obsolescence</w:t>
      </w:r>
      <w:r w:rsidR="00680C4E" w:rsidRPr="00BD050D">
        <w:rPr>
          <w:rFonts w:cstheme="minorHAnsi"/>
          <w:sz w:val="24"/>
          <w:szCs w:val="24"/>
        </w:rPr>
        <w:t>.</w:t>
      </w:r>
    </w:p>
    <w:p w14:paraId="5FF73570" w14:textId="2E27E14B" w:rsidR="00071DAE" w:rsidRPr="00BD050D" w:rsidRDefault="00E30922" w:rsidP="0095391B">
      <w:pPr>
        <w:rPr>
          <w:rFonts w:cstheme="minorHAnsi"/>
          <w:sz w:val="24"/>
          <w:szCs w:val="24"/>
        </w:rPr>
      </w:pPr>
      <w:proofErr w:type="gramStart"/>
      <w:r w:rsidRPr="00BD050D">
        <w:rPr>
          <w:rFonts w:cstheme="minorHAnsi"/>
          <w:sz w:val="24"/>
          <w:szCs w:val="24"/>
        </w:rPr>
        <w:t>In order to</w:t>
      </w:r>
      <w:proofErr w:type="gramEnd"/>
      <w:r w:rsidRPr="00BD050D">
        <w:rPr>
          <w:rFonts w:cstheme="minorHAnsi"/>
          <w:sz w:val="24"/>
          <w:szCs w:val="24"/>
        </w:rPr>
        <w:t xml:space="preserve"> be optimally efficient in gathering necessary data, while minimizing supplier impacts and resistance, declaration process standards and tools have been developed </w:t>
      </w:r>
      <w:r w:rsidR="0018423D" w:rsidRPr="00BD050D">
        <w:rPr>
          <w:rFonts w:cstheme="minorHAnsi"/>
          <w:sz w:val="24"/>
          <w:szCs w:val="24"/>
        </w:rPr>
        <w:t>to</w:t>
      </w:r>
      <w:r w:rsidRPr="00BD050D">
        <w:rPr>
          <w:rFonts w:cstheme="minorHAnsi"/>
          <w:sz w:val="24"/>
          <w:szCs w:val="24"/>
        </w:rPr>
        <w:t xml:space="preserve"> specify the mechanical aspects of data gathering – data elements (related formats, units and quality requirements) and information data transfer protocols.  These standards have been developed to satisfy the needs of their users (e.g., for companies in the automotive, or electronics industries</w:t>
      </w:r>
      <w:r w:rsidR="00BC2E14" w:rsidRPr="00BD050D">
        <w:rPr>
          <w:rFonts w:cstheme="minorHAnsi"/>
          <w:sz w:val="24"/>
          <w:szCs w:val="24"/>
        </w:rPr>
        <w:t xml:space="preserve">). </w:t>
      </w:r>
      <w:r w:rsidR="002424F7" w:rsidRPr="00BD050D">
        <w:rPr>
          <w:rFonts w:cstheme="minorHAnsi"/>
          <w:sz w:val="24"/>
          <w:szCs w:val="24"/>
        </w:rPr>
        <w:t xml:space="preserve"> IPC-1754 -</w:t>
      </w:r>
      <w:r w:rsidRPr="00BD050D">
        <w:rPr>
          <w:rFonts w:cstheme="minorHAnsi"/>
          <w:sz w:val="24"/>
          <w:szCs w:val="24"/>
        </w:rPr>
        <w:t xml:space="preserve"> </w:t>
      </w:r>
      <w:r w:rsidRPr="00BD050D">
        <w:rPr>
          <w:rFonts w:cstheme="minorHAnsi"/>
          <w:i/>
          <w:sz w:val="24"/>
          <w:szCs w:val="24"/>
        </w:rPr>
        <w:t>Materials and Substances Declaration for Aerospace and Defen</w:t>
      </w:r>
      <w:r w:rsidR="00087EE5" w:rsidRPr="00BD050D">
        <w:rPr>
          <w:rFonts w:cstheme="minorHAnsi"/>
          <w:i/>
          <w:sz w:val="24"/>
          <w:szCs w:val="24"/>
        </w:rPr>
        <w:t>c</w:t>
      </w:r>
      <w:r w:rsidRPr="00BD050D">
        <w:rPr>
          <w:rFonts w:cstheme="minorHAnsi"/>
          <w:i/>
          <w:sz w:val="24"/>
          <w:szCs w:val="24"/>
        </w:rPr>
        <w:t>e and Other Industries</w:t>
      </w:r>
      <w:r w:rsidR="00BC2E14" w:rsidRPr="00BD050D">
        <w:rPr>
          <w:rFonts w:cstheme="minorHAnsi"/>
          <w:sz w:val="24"/>
          <w:szCs w:val="24"/>
        </w:rPr>
        <w:t xml:space="preserve"> has been developed primar</w:t>
      </w:r>
      <w:r w:rsidR="00087EE5" w:rsidRPr="00BD050D">
        <w:rPr>
          <w:rFonts w:cstheme="minorHAnsi"/>
          <w:sz w:val="24"/>
          <w:szCs w:val="24"/>
        </w:rPr>
        <w:t xml:space="preserve">ily for the aerospace and </w:t>
      </w:r>
      <w:proofErr w:type="spellStart"/>
      <w:r w:rsidR="00087EE5" w:rsidRPr="00BD050D">
        <w:rPr>
          <w:rFonts w:cstheme="minorHAnsi"/>
          <w:sz w:val="24"/>
          <w:szCs w:val="24"/>
        </w:rPr>
        <w:t>defenc</w:t>
      </w:r>
      <w:r w:rsidR="00BC2E14" w:rsidRPr="00BD050D">
        <w:rPr>
          <w:rFonts w:cstheme="minorHAnsi"/>
          <w:sz w:val="24"/>
          <w:szCs w:val="24"/>
        </w:rPr>
        <w:t>e</w:t>
      </w:r>
      <w:proofErr w:type="spellEnd"/>
      <w:r w:rsidR="00BC2E14" w:rsidRPr="00BD050D">
        <w:rPr>
          <w:rFonts w:cstheme="minorHAnsi"/>
          <w:sz w:val="24"/>
          <w:szCs w:val="24"/>
        </w:rPr>
        <w:t xml:space="preserve"> (AD) industry but can be used by any other industry seeking </w:t>
      </w:r>
      <w:r w:rsidR="002C2179" w:rsidRPr="00BD050D">
        <w:rPr>
          <w:rFonts w:cstheme="minorHAnsi"/>
          <w:sz w:val="24"/>
          <w:szCs w:val="24"/>
        </w:rPr>
        <w:t xml:space="preserve">to communicate </w:t>
      </w:r>
      <w:r w:rsidR="00BC2E14" w:rsidRPr="00BD050D">
        <w:rPr>
          <w:rFonts w:cstheme="minorHAnsi"/>
          <w:sz w:val="24"/>
          <w:szCs w:val="24"/>
        </w:rPr>
        <w:t>materials and substance data through their supply chains</w:t>
      </w:r>
      <w:r w:rsidR="002C2179" w:rsidRPr="00BD050D">
        <w:rPr>
          <w:rFonts w:cstheme="minorHAnsi"/>
          <w:sz w:val="24"/>
          <w:szCs w:val="24"/>
        </w:rPr>
        <w:t xml:space="preserve"> in a consistent and repeatable manner</w:t>
      </w:r>
      <w:r w:rsidR="00BC2E14" w:rsidRPr="00BD050D">
        <w:rPr>
          <w:rFonts w:cstheme="minorHAnsi"/>
          <w:sz w:val="24"/>
          <w:szCs w:val="24"/>
        </w:rPr>
        <w:t xml:space="preserve">. </w:t>
      </w:r>
      <w:r w:rsidRPr="00BD050D">
        <w:rPr>
          <w:rFonts w:cstheme="minorHAnsi"/>
          <w:sz w:val="24"/>
          <w:szCs w:val="24"/>
        </w:rPr>
        <w:t xml:space="preserve"> </w:t>
      </w:r>
    </w:p>
    <w:p w14:paraId="792E3FBC" w14:textId="097A647B" w:rsidR="00071DAE" w:rsidRPr="00BD050D" w:rsidRDefault="00071DAE" w:rsidP="00071DAE">
      <w:pPr>
        <w:rPr>
          <w:rFonts w:cstheme="minorHAnsi"/>
          <w:sz w:val="24"/>
          <w:szCs w:val="24"/>
        </w:rPr>
      </w:pPr>
      <w:r w:rsidRPr="00BD050D">
        <w:rPr>
          <w:rFonts w:cstheme="minorHAnsi"/>
          <w:sz w:val="24"/>
          <w:szCs w:val="24"/>
        </w:rPr>
        <w:t>Individual organizations or industries may require differing data elements in IPC-1754 that need</w:t>
      </w:r>
      <w:r w:rsidR="0018423D" w:rsidRPr="00BD050D">
        <w:rPr>
          <w:rFonts w:cstheme="minorHAnsi"/>
          <w:sz w:val="24"/>
          <w:szCs w:val="24"/>
        </w:rPr>
        <w:t xml:space="preserve"> </w:t>
      </w:r>
      <w:r w:rsidRPr="00BD050D">
        <w:rPr>
          <w:rFonts w:cstheme="minorHAnsi"/>
          <w:sz w:val="24"/>
          <w:szCs w:val="24"/>
        </w:rPr>
        <w:t xml:space="preserve">to be defined by the specific request for declaration or other business to business agreement. The standard allows for the declaration of process substances as well that may not be contained in the final product for technology obsolescence risk evaluation. Some industries do not require the material data as mandatory and only </w:t>
      </w:r>
      <w:r w:rsidR="0018423D" w:rsidRPr="00BD050D">
        <w:rPr>
          <w:rFonts w:cstheme="minorHAnsi"/>
          <w:sz w:val="24"/>
          <w:szCs w:val="24"/>
        </w:rPr>
        <w:t xml:space="preserve">require the notification of </w:t>
      </w:r>
      <w:r w:rsidRPr="00BD050D">
        <w:rPr>
          <w:rFonts w:cstheme="minorHAnsi"/>
          <w:sz w:val="24"/>
          <w:szCs w:val="24"/>
        </w:rPr>
        <w:t>substances in the product</w:t>
      </w:r>
      <w:r w:rsidR="0018423D" w:rsidRPr="00BD050D">
        <w:rPr>
          <w:rFonts w:cstheme="minorHAnsi"/>
          <w:sz w:val="24"/>
          <w:szCs w:val="24"/>
        </w:rPr>
        <w:t>.</w:t>
      </w:r>
    </w:p>
    <w:p w14:paraId="43218D15" w14:textId="4475BB6D" w:rsidR="00071DAE" w:rsidRPr="00BD050D" w:rsidRDefault="00584939" w:rsidP="0095391B">
      <w:pPr>
        <w:rPr>
          <w:rFonts w:cstheme="minorHAnsi"/>
          <w:sz w:val="24"/>
          <w:szCs w:val="24"/>
        </w:rPr>
      </w:pPr>
      <w:r w:rsidRPr="00BD050D">
        <w:rPr>
          <w:rFonts w:cstheme="minorHAnsi"/>
          <w:sz w:val="24"/>
          <w:szCs w:val="24"/>
        </w:rPr>
        <w:t xml:space="preserve">This guidance document contains general and specific recommendations that are necessary for reporting materials and substance data using IPC-1754. </w:t>
      </w:r>
    </w:p>
    <w:p w14:paraId="7BA2C9C5" w14:textId="77777777" w:rsidR="0085303D" w:rsidRPr="00BD050D" w:rsidRDefault="0085303D" w:rsidP="0063323D">
      <w:pPr>
        <w:ind w:firstLine="720"/>
        <w:rPr>
          <w:rFonts w:cstheme="minorHAnsi"/>
          <w:sz w:val="24"/>
          <w:szCs w:val="24"/>
        </w:rPr>
      </w:pPr>
    </w:p>
    <w:p w14:paraId="2F23750A" w14:textId="662E7D3B" w:rsidR="0085303D" w:rsidRPr="00BD050D" w:rsidRDefault="00D22F25" w:rsidP="0085303D">
      <w:pPr>
        <w:pStyle w:val="Default"/>
        <w:rPr>
          <w:rFonts w:asciiTheme="minorHAnsi" w:hAnsiTheme="minorHAnsi" w:cstheme="minorHAnsi"/>
          <w:b/>
          <w:bCs/>
          <w:color w:val="auto"/>
          <w:u w:val="single"/>
          <w:lang w:val="en-US"/>
        </w:rPr>
      </w:pPr>
      <w:r w:rsidRPr="00BD050D">
        <w:rPr>
          <w:rFonts w:asciiTheme="minorHAnsi" w:hAnsiTheme="minorHAnsi" w:cstheme="minorHAnsi"/>
          <w:b/>
          <w:bCs/>
          <w:color w:val="auto"/>
          <w:u w:val="single"/>
          <w:lang w:val="en-US"/>
        </w:rPr>
        <w:t xml:space="preserve">2.0 </w:t>
      </w:r>
      <w:r w:rsidR="0085303D" w:rsidRPr="00BD050D">
        <w:rPr>
          <w:rFonts w:asciiTheme="minorHAnsi" w:hAnsiTheme="minorHAnsi" w:cstheme="minorHAnsi"/>
          <w:b/>
          <w:bCs/>
          <w:color w:val="auto"/>
          <w:u w:val="single"/>
          <w:lang w:val="en-US"/>
        </w:rPr>
        <w:t xml:space="preserve">Why IPC-1754 Materials and Substance Data Exchange? </w:t>
      </w:r>
    </w:p>
    <w:p w14:paraId="7E4DDED0" w14:textId="77777777" w:rsidR="003865F4" w:rsidRPr="00BD050D" w:rsidRDefault="003865F4" w:rsidP="0085303D">
      <w:pPr>
        <w:pStyle w:val="Default"/>
        <w:rPr>
          <w:rFonts w:asciiTheme="minorHAnsi" w:hAnsiTheme="minorHAnsi" w:cstheme="minorHAnsi"/>
          <w:color w:val="auto"/>
          <w:lang w:val="en-US"/>
        </w:rPr>
      </w:pPr>
    </w:p>
    <w:p w14:paraId="686B83DF" w14:textId="4413DBC6" w:rsidR="00071DAE" w:rsidRPr="00BD050D" w:rsidRDefault="00071DAE" w:rsidP="00071DAE">
      <w:pPr>
        <w:pStyle w:val="Default"/>
        <w:rPr>
          <w:rFonts w:asciiTheme="minorHAnsi" w:hAnsiTheme="minorHAnsi" w:cstheme="minorHAnsi"/>
          <w:color w:val="auto"/>
          <w:lang w:val="en-US"/>
        </w:rPr>
      </w:pPr>
      <w:r w:rsidRPr="00BD050D">
        <w:rPr>
          <w:rFonts w:asciiTheme="minorHAnsi" w:hAnsiTheme="minorHAnsi" w:cstheme="minorHAnsi"/>
          <w:color w:val="auto"/>
          <w:lang w:val="en-US"/>
        </w:rPr>
        <w:t>The IPC-175X family of standards provides two standards for substance and material declaration (IPC-1752</w:t>
      </w:r>
      <w:r w:rsidR="00E744F9" w:rsidRPr="00BD050D">
        <w:rPr>
          <w:rFonts w:asciiTheme="minorHAnsi" w:hAnsiTheme="minorHAnsi" w:cstheme="minorHAnsi"/>
          <w:color w:val="auto"/>
          <w:lang w:val="en-US"/>
        </w:rPr>
        <w:t>x</w:t>
      </w:r>
      <w:r w:rsidRPr="00BD050D">
        <w:rPr>
          <w:rFonts w:asciiTheme="minorHAnsi" w:hAnsiTheme="minorHAnsi" w:cstheme="minorHAnsi"/>
          <w:color w:val="auto"/>
          <w:lang w:val="en-US"/>
        </w:rPr>
        <w:t xml:space="preserve"> and IPC-1754); however, the two standards provide different features and are focused on addressing the needs of different industries.  IPC-1754 was developed using the structure and lessons learn from IPC-1752A.</w:t>
      </w:r>
    </w:p>
    <w:p w14:paraId="7FAF0249" w14:textId="4C2A6985" w:rsidR="00071DAE" w:rsidRPr="00BD050D" w:rsidRDefault="00071DAE" w:rsidP="00071DAE">
      <w:pPr>
        <w:rPr>
          <w:rFonts w:cstheme="minorHAnsi"/>
          <w:sz w:val="24"/>
          <w:szCs w:val="24"/>
        </w:rPr>
      </w:pPr>
      <w:r w:rsidRPr="00BD050D">
        <w:rPr>
          <w:rFonts w:cstheme="minorHAnsi"/>
          <w:sz w:val="24"/>
          <w:szCs w:val="24"/>
        </w:rPr>
        <w:t>IPC-1752</w:t>
      </w:r>
      <w:r w:rsidR="00E744F9" w:rsidRPr="00BD050D">
        <w:rPr>
          <w:rFonts w:cstheme="minorHAnsi"/>
          <w:sz w:val="24"/>
          <w:szCs w:val="24"/>
        </w:rPr>
        <w:t>x</w:t>
      </w:r>
      <w:r w:rsidRPr="00BD050D">
        <w:rPr>
          <w:rFonts w:cstheme="minorHAnsi"/>
          <w:sz w:val="24"/>
          <w:szCs w:val="24"/>
        </w:rPr>
        <w:t xml:space="preserve"> was developed by the electronics industry for supporting the EU RoHS </w:t>
      </w:r>
      <w:r w:rsidR="00304256" w:rsidRPr="00BD050D">
        <w:rPr>
          <w:rFonts w:cstheme="minorHAnsi"/>
          <w:sz w:val="24"/>
          <w:szCs w:val="24"/>
        </w:rPr>
        <w:t>directive</w:t>
      </w:r>
      <w:r w:rsidRPr="00BD050D">
        <w:rPr>
          <w:rFonts w:cstheme="minorHAnsi"/>
          <w:sz w:val="24"/>
          <w:szCs w:val="24"/>
        </w:rPr>
        <w:t xml:space="preserve"> and has been extended to support EU REACH and other similar </w:t>
      </w:r>
      <w:r w:rsidR="00304256" w:rsidRPr="00BD050D">
        <w:rPr>
          <w:rFonts w:cstheme="minorHAnsi"/>
          <w:sz w:val="24"/>
          <w:szCs w:val="24"/>
        </w:rPr>
        <w:t xml:space="preserve">legislations </w:t>
      </w:r>
      <w:r w:rsidRPr="00BD050D">
        <w:rPr>
          <w:rFonts w:cstheme="minorHAnsi"/>
          <w:sz w:val="24"/>
          <w:szCs w:val="24"/>
        </w:rPr>
        <w:t>applicable to the electronic industry. It is a preferred format for reporting an electronic component, such as a semiconductor, where the manufacturer controls, or has knowledge of the specifications and 100% composition of the materials being use</w:t>
      </w:r>
      <w:r w:rsidR="00304256" w:rsidRPr="00BD050D">
        <w:rPr>
          <w:rFonts w:cstheme="minorHAnsi"/>
          <w:sz w:val="24"/>
          <w:szCs w:val="24"/>
        </w:rPr>
        <w:t>d</w:t>
      </w:r>
      <w:r w:rsidRPr="00BD050D">
        <w:rPr>
          <w:rFonts w:cstheme="minorHAnsi"/>
          <w:sz w:val="24"/>
          <w:szCs w:val="24"/>
        </w:rPr>
        <w:t>. IPC-1752</w:t>
      </w:r>
      <w:r w:rsidR="00E744F9" w:rsidRPr="00BD050D">
        <w:rPr>
          <w:rFonts w:cstheme="minorHAnsi"/>
          <w:sz w:val="24"/>
          <w:szCs w:val="24"/>
        </w:rPr>
        <w:t>x</w:t>
      </w:r>
      <w:r w:rsidRPr="00BD050D">
        <w:rPr>
          <w:rFonts w:cstheme="minorHAnsi"/>
          <w:sz w:val="24"/>
          <w:szCs w:val="24"/>
        </w:rPr>
        <w:t xml:space="preserve"> is designed for regulatory compliance declaration </w:t>
      </w:r>
      <w:r w:rsidR="00541B94" w:rsidRPr="00BD050D">
        <w:rPr>
          <w:rFonts w:cstheme="minorHAnsi"/>
          <w:sz w:val="24"/>
          <w:szCs w:val="24"/>
        </w:rPr>
        <w:t>for</w:t>
      </w:r>
      <w:r w:rsidRPr="00BD050D">
        <w:rPr>
          <w:rFonts w:cstheme="minorHAnsi"/>
          <w:sz w:val="24"/>
          <w:szCs w:val="24"/>
        </w:rPr>
        <w:t xml:space="preserve"> EU RoHS with either a product statement (class A) or a more accurate declaration against all </w:t>
      </w:r>
      <w:r w:rsidR="00541B94" w:rsidRPr="00BD050D">
        <w:rPr>
          <w:rFonts w:cstheme="minorHAnsi"/>
          <w:sz w:val="24"/>
          <w:szCs w:val="24"/>
        </w:rPr>
        <w:t>listed</w:t>
      </w:r>
      <w:r w:rsidRPr="00BD050D">
        <w:rPr>
          <w:rFonts w:cstheme="minorHAnsi"/>
          <w:sz w:val="24"/>
          <w:szCs w:val="24"/>
        </w:rPr>
        <w:t xml:space="preserve"> substance classes (class C); it also supports material and substance declarations up to a full declaration (class D). </w:t>
      </w:r>
    </w:p>
    <w:p w14:paraId="088B4E38" w14:textId="77777777" w:rsidR="00071DAE" w:rsidRPr="00BD050D" w:rsidRDefault="00071DAE" w:rsidP="00071DAE">
      <w:pPr>
        <w:rPr>
          <w:rFonts w:cstheme="minorHAnsi"/>
          <w:sz w:val="24"/>
          <w:szCs w:val="24"/>
        </w:rPr>
      </w:pPr>
    </w:p>
    <w:p w14:paraId="78F76ED2" w14:textId="766CEE7A" w:rsidR="00071DAE" w:rsidRPr="00BD050D" w:rsidRDefault="00071DAE" w:rsidP="00071DAE">
      <w:pPr>
        <w:pStyle w:val="Default"/>
        <w:rPr>
          <w:rFonts w:asciiTheme="minorHAnsi" w:hAnsiTheme="minorHAnsi" w:cstheme="minorHAnsi"/>
          <w:color w:val="auto"/>
          <w:lang w:val="en-US"/>
        </w:rPr>
      </w:pPr>
      <w:r w:rsidRPr="00BD050D">
        <w:rPr>
          <w:rFonts w:asciiTheme="minorHAnsi" w:hAnsiTheme="minorHAnsi" w:cstheme="minorHAnsi"/>
          <w:color w:val="auto"/>
          <w:lang w:val="en-US"/>
        </w:rPr>
        <w:t>IPC-1754 was developed for industries with complex products and extensive supply chains, primarily structured for supporting EU REACH regulations. The standard is designed to allow materials and component</w:t>
      </w:r>
      <w:r w:rsidR="00541B94" w:rsidRPr="00BD050D">
        <w:rPr>
          <w:rFonts w:asciiTheme="minorHAnsi" w:hAnsiTheme="minorHAnsi" w:cstheme="minorHAnsi"/>
          <w:color w:val="auto"/>
          <w:lang w:val="en-US"/>
        </w:rPr>
        <w:t xml:space="preserve"> data</w:t>
      </w:r>
      <w:r w:rsidRPr="00BD050D">
        <w:rPr>
          <w:rFonts w:asciiTheme="minorHAnsi" w:hAnsiTheme="minorHAnsi" w:cstheme="minorHAnsi"/>
          <w:color w:val="auto"/>
          <w:lang w:val="en-US"/>
        </w:rPr>
        <w:t xml:space="preserve"> to be combined in a manner that allows for compilation and regulatory compliance evaluation as the data is moved along the supply chain. This approach allows for communication of substance data even when some of the data is considered proprietary. The structure also enables combining and preserving existing IPC-1752</w:t>
      </w:r>
      <w:r w:rsidR="00E744F9" w:rsidRPr="00BD050D">
        <w:rPr>
          <w:rFonts w:asciiTheme="minorHAnsi" w:hAnsiTheme="minorHAnsi" w:cstheme="minorHAnsi"/>
          <w:color w:val="auto"/>
          <w:lang w:val="en-US"/>
        </w:rPr>
        <w:t>x</w:t>
      </w:r>
      <w:r w:rsidRPr="00BD050D">
        <w:rPr>
          <w:rFonts w:asciiTheme="minorHAnsi" w:hAnsiTheme="minorHAnsi" w:cstheme="minorHAnsi"/>
          <w:color w:val="auto"/>
          <w:lang w:val="en-US"/>
        </w:rPr>
        <w:t xml:space="preserve"> data elements to allow it to work for multiple industries for exporting data to internal systems.</w:t>
      </w:r>
      <w:r w:rsidR="00E744F9" w:rsidRPr="00BD050D">
        <w:rPr>
          <w:rFonts w:asciiTheme="minorHAnsi" w:hAnsiTheme="minorHAnsi" w:cstheme="minorHAnsi"/>
          <w:color w:val="auto"/>
          <w:lang w:val="en-US"/>
        </w:rPr>
        <w:t xml:space="preserve">  IPC-1754 provides for declaration requests from a query list (Class E), from a declarable substance list (Class F) or for all substances in a product or process (Class G). </w:t>
      </w:r>
    </w:p>
    <w:p w14:paraId="4A5F42DE" w14:textId="77777777" w:rsidR="00071DAE" w:rsidRPr="00BD050D" w:rsidRDefault="00071DAE" w:rsidP="00071DAE">
      <w:pPr>
        <w:pStyle w:val="Default"/>
        <w:rPr>
          <w:rFonts w:asciiTheme="minorHAnsi" w:hAnsiTheme="minorHAnsi" w:cstheme="minorHAnsi"/>
          <w:color w:val="auto"/>
        </w:rPr>
      </w:pPr>
    </w:p>
    <w:p w14:paraId="0C69DE22" w14:textId="48C320EA" w:rsidR="008C7330" w:rsidRPr="00BD050D" w:rsidRDefault="001F484D" w:rsidP="00071DAE">
      <w:pPr>
        <w:pStyle w:val="Default"/>
        <w:rPr>
          <w:rFonts w:asciiTheme="minorHAnsi" w:hAnsiTheme="minorHAnsi" w:cstheme="minorHAnsi"/>
          <w:color w:val="auto"/>
          <w:lang w:val="en-US"/>
        </w:rPr>
      </w:pPr>
      <w:r w:rsidRPr="00BD050D">
        <w:rPr>
          <w:rFonts w:asciiTheme="minorHAnsi" w:hAnsiTheme="minorHAnsi" w:cstheme="minorHAnsi"/>
          <w:color w:val="auto"/>
          <w:lang w:val="en-US"/>
        </w:rPr>
        <w:t xml:space="preserve">IPC-1754 provides the AD and other industries a standard set of criteria for </w:t>
      </w:r>
      <w:r w:rsidR="002424F7" w:rsidRPr="00BD050D">
        <w:rPr>
          <w:rFonts w:asciiTheme="minorHAnsi" w:hAnsiTheme="minorHAnsi" w:cstheme="minorHAnsi"/>
          <w:color w:val="auto"/>
          <w:lang w:val="en-US"/>
        </w:rPr>
        <w:t>the</w:t>
      </w:r>
      <w:r w:rsidR="002C2179" w:rsidRPr="00BD050D">
        <w:rPr>
          <w:rFonts w:asciiTheme="minorHAnsi" w:hAnsiTheme="minorHAnsi" w:cstheme="minorHAnsi"/>
          <w:color w:val="auto"/>
          <w:lang w:val="en-US"/>
        </w:rPr>
        <w:t xml:space="preserve"> communication</w:t>
      </w:r>
      <w:r w:rsidR="00680C4E" w:rsidRPr="00BD050D">
        <w:rPr>
          <w:rFonts w:asciiTheme="minorHAnsi" w:hAnsiTheme="minorHAnsi" w:cstheme="minorHAnsi"/>
          <w:color w:val="auto"/>
          <w:lang w:val="en-US"/>
        </w:rPr>
        <w:t xml:space="preserve"> of </w:t>
      </w:r>
      <w:r w:rsidR="00E306B0" w:rsidRPr="00BD050D">
        <w:rPr>
          <w:rFonts w:asciiTheme="minorHAnsi" w:hAnsiTheme="minorHAnsi" w:cstheme="minorHAnsi"/>
          <w:color w:val="auto"/>
          <w:lang w:val="en-US"/>
        </w:rPr>
        <w:t xml:space="preserve">information on </w:t>
      </w:r>
      <w:r w:rsidR="00680C4E" w:rsidRPr="00BD050D">
        <w:rPr>
          <w:rFonts w:asciiTheme="minorHAnsi" w:hAnsiTheme="minorHAnsi" w:cstheme="minorHAnsi"/>
          <w:color w:val="auto"/>
          <w:lang w:val="en-US"/>
        </w:rPr>
        <w:t>substance</w:t>
      </w:r>
      <w:r w:rsidR="00E306B0" w:rsidRPr="00BD050D">
        <w:rPr>
          <w:rFonts w:asciiTheme="minorHAnsi" w:hAnsiTheme="minorHAnsi" w:cstheme="minorHAnsi"/>
          <w:color w:val="auto"/>
          <w:lang w:val="en-US"/>
        </w:rPr>
        <w:t>s</w:t>
      </w:r>
      <w:r w:rsidR="00680C4E" w:rsidRPr="00BD050D">
        <w:rPr>
          <w:rFonts w:asciiTheme="minorHAnsi" w:hAnsiTheme="minorHAnsi" w:cstheme="minorHAnsi"/>
          <w:color w:val="auto"/>
          <w:lang w:val="en-US"/>
        </w:rPr>
        <w:t xml:space="preserve"> and material</w:t>
      </w:r>
      <w:r w:rsidR="00E306B0" w:rsidRPr="00BD050D">
        <w:rPr>
          <w:rFonts w:asciiTheme="minorHAnsi" w:hAnsiTheme="minorHAnsi" w:cstheme="minorHAnsi"/>
          <w:color w:val="auto"/>
          <w:lang w:val="en-US"/>
        </w:rPr>
        <w:t>s</w:t>
      </w:r>
      <w:r w:rsidRPr="00BD050D">
        <w:rPr>
          <w:rFonts w:asciiTheme="minorHAnsi" w:hAnsiTheme="minorHAnsi" w:cstheme="minorHAnsi"/>
          <w:color w:val="auto"/>
          <w:lang w:val="en-US"/>
        </w:rPr>
        <w:t xml:space="preserve">. Without standardized </w:t>
      </w:r>
      <w:r w:rsidR="002C2179" w:rsidRPr="00BD050D">
        <w:rPr>
          <w:rFonts w:asciiTheme="minorHAnsi" w:hAnsiTheme="minorHAnsi" w:cstheme="minorHAnsi"/>
          <w:color w:val="auto"/>
          <w:lang w:val="en-US"/>
        </w:rPr>
        <w:t>commun</w:t>
      </w:r>
      <w:r w:rsidR="00AA10A0" w:rsidRPr="00BD050D">
        <w:rPr>
          <w:rFonts w:asciiTheme="minorHAnsi" w:hAnsiTheme="minorHAnsi" w:cstheme="minorHAnsi"/>
          <w:color w:val="auto"/>
          <w:lang w:val="en-US"/>
        </w:rPr>
        <w:t>i</w:t>
      </w:r>
      <w:r w:rsidR="002C2179" w:rsidRPr="00BD050D">
        <w:rPr>
          <w:rFonts w:asciiTheme="minorHAnsi" w:hAnsiTheme="minorHAnsi" w:cstheme="minorHAnsi"/>
          <w:color w:val="auto"/>
          <w:lang w:val="en-US"/>
        </w:rPr>
        <w:t>cation</w:t>
      </w:r>
      <w:r w:rsidRPr="00BD050D">
        <w:rPr>
          <w:rFonts w:asciiTheme="minorHAnsi" w:hAnsiTheme="minorHAnsi" w:cstheme="minorHAnsi"/>
          <w:color w:val="auto"/>
          <w:lang w:val="en-US"/>
        </w:rPr>
        <w:t xml:space="preserve"> criteria, individual companies will create </w:t>
      </w:r>
      <w:r w:rsidR="000164E5" w:rsidRPr="00BD050D">
        <w:rPr>
          <w:rFonts w:asciiTheme="minorHAnsi" w:hAnsiTheme="minorHAnsi" w:cstheme="minorHAnsi"/>
          <w:color w:val="auto"/>
          <w:lang w:val="en-US"/>
        </w:rPr>
        <w:t>company</w:t>
      </w:r>
      <w:r w:rsidRPr="00BD050D">
        <w:rPr>
          <w:rFonts w:asciiTheme="minorHAnsi" w:hAnsiTheme="minorHAnsi" w:cstheme="minorHAnsi"/>
          <w:color w:val="auto"/>
          <w:lang w:val="en-US"/>
        </w:rPr>
        <w:t xml:space="preserve">- specific solutions and will cause much confusion and extra effort in the supply chain. </w:t>
      </w:r>
      <w:r w:rsidR="00AA10A0" w:rsidRPr="00BD050D">
        <w:rPr>
          <w:rFonts w:asciiTheme="minorHAnsi" w:hAnsiTheme="minorHAnsi" w:cstheme="minorHAnsi"/>
          <w:color w:val="auto"/>
          <w:lang w:val="en-US"/>
        </w:rPr>
        <w:t xml:space="preserve"> </w:t>
      </w:r>
      <w:r w:rsidR="002424F7" w:rsidRPr="00BD050D">
        <w:rPr>
          <w:rFonts w:asciiTheme="minorHAnsi" w:hAnsiTheme="minorHAnsi" w:cstheme="minorHAnsi"/>
          <w:color w:val="auto"/>
          <w:lang w:val="en-US"/>
        </w:rPr>
        <w:t>Standardized i</w:t>
      </w:r>
      <w:r w:rsidR="000164E5" w:rsidRPr="00BD050D">
        <w:rPr>
          <w:rFonts w:asciiTheme="minorHAnsi" w:hAnsiTheme="minorHAnsi" w:cstheme="minorHAnsi"/>
          <w:color w:val="auto"/>
          <w:lang w:val="en-US"/>
        </w:rPr>
        <w:t>ndustry requirements and format for substance data exchange provides</w:t>
      </w:r>
      <w:r w:rsidRPr="00BD050D">
        <w:rPr>
          <w:rFonts w:asciiTheme="minorHAnsi" w:hAnsiTheme="minorHAnsi" w:cstheme="minorHAnsi"/>
          <w:color w:val="auto"/>
          <w:lang w:val="en-US"/>
        </w:rPr>
        <w:t>:</w:t>
      </w:r>
    </w:p>
    <w:p w14:paraId="547B6889" w14:textId="77777777" w:rsidR="008C7330" w:rsidRPr="00BD050D" w:rsidRDefault="000164E5" w:rsidP="00F95D18">
      <w:pPr>
        <w:pStyle w:val="Default"/>
        <w:numPr>
          <w:ilvl w:val="0"/>
          <w:numId w:val="8"/>
        </w:numPr>
        <w:rPr>
          <w:rFonts w:asciiTheme="minorHAnsi" w:hAnsiTheme="minorHAnsi" w:cstheme="minorHAnsi"/>
          <w:color w:val="auto"/>
          <w:lang w:val="en-US"/>
        </w:rPr>
      </w:pPr>
      <w:r w:rsidRPr="00BD050D">
        <w:rPr>
          <w:rFonts w:asciiTheme="minorHAnsi" w:hAnsiTheme="minorHAnsi" w:cstheme="minorHAnsi"/>
          <w:color w:val="auto"/>
          <w:lang w:val="en-US"/>
        </w:rPr>
        <w:t>Improved supply chain awareness and buy-in</w:t>
      </w:r>
    </w:p>
    <w:p w14:paraId="1D6633BA" w14:textId="77777777" w:rsidR="008C7330" w:rsidRPr="00BD050D" w:rsidRDefault="000164E5" w:rsidP="00F95D18">
      <w:pPr>
        <w:pStyle w:val="Default"/>
        <w:numPr>
          <w:ilvl w:val="0"/>
          <w:numId w:val="8"/>
        </w:numPr>
        <w:rPr>
          <w:rFonts w:asciiTheme="minorHAnsi" w:hAnsiTheme="minorHAnsi" w:cstheme="minorHAnsi"/>
          <w:color w:val="auto"/>
          <w:lang w:val="en-US"/>
        </w:rPr>
      </w:pPr>
      <w:r w:rsidRPr="00BD050D">
        <w:rPr>
          <w:rFonts w:asciiTheme="minorHAnsi" w:hAnsiTheme="minorHAnsi" w:cstheme="minorHAnsi"/>
          <w:color w:val="auto"/>
          <w:lang w:val="en-US"/>
        </w:rPr>
        <w:t xml:space="preserve">Ecosystem to support development of tools to support data </w:t>
      </w:r>
      <w:r w:rsidR="002C2179" w:rsidRPr="00BD050D">
        <w:rPr>
          <w:rFonts w:asciiTheme="minorHAnsi" w:hAnsiTheme="minorHAnsi" w:cstheme="minorHAnsi"/>
          <w:color w:val="auto"/>
          <w:lang w:val="en-US"/>
        </w:rPr>
        <w:t>communication</w:t>
      </w:r>
      <w:r w:rsidRPr="00BD050D">
        <w:rPr>
          <w:rFonts w:asciiTheme="minorHAnsi" w:hAnsiTheme="minorHAnsi" w:cstheme="minorHAnsi"/>
          <w:color w:val="auto"/>
          <w:lang w:val="en-US"/>
        </w:rPr>
        <w:t xml:space="preserve"> and management</w:t>
      </w:r>
    </w:p>
    <w:p w14:paraId="74DB25E2" w14:textId="77777777" w:rsidR="008C7330" w:rsidRPr="00BD050D" w:rsidRDefault="000164E5" w:rsidP="00E744F9">
      <w:pPr>
        <w:pStyle w:val="Default"/>
        <w:numPr>
          <w:ilvl w:val="0"/>
          <w:numId w:val="8"/>
        </w:numPr>
        <w:rPr>
          <w:rFonts w:asciiTheme="minorHAnsi" w:hAnsiTheme="minorHAnsi" w:cstheme="minorHAnsi"/>
          <w:color w:val="auto"/>
          <w:lang w:val="en-US"/>
        </w:rPr>
      </w:pPr>
      <w:r w:rsidRPr="00BD050D">
        <w:rPr>
          <w:rFonts w:asciiTheme="minorHAnsi" w:hAnsiTheme="minorHAnsi" w:cstheme="minorHAnsi"/>
          <w:color w:val="auto"/>
          <w:lang w:val="en-US"/>
        </w:rPr>
        <w:t>Reduced turnaround time for declarations</w:t>
      </w:r>
    </w:p>
    <w:p w14:paraId="16493B9A" w14:textId="77777777" w:rsidR="001F484D" w:rsidRPr="00BD050D" w:rsidRDefault="000164E5" w:rsidP="00F95D18">
      <w:pPr>
        <w:pStyle w:val="Default"/>
        <w:numPr>
          <w:ilvl w:val="0"/>
          <w:numId w:val="8"/>
        </w:numPr>
        <w:rPr>
          <w:rFonts w:asciiTheme="minorHAnsi" w:hAnsiTheme="minorHAnsi" w:cstheme="minorHAnsi"/>
          <w:color w:val="auto"/>
          <w:lang w:val="en-US"/>
        </w:rPr>
      </w:pPr>
      <w:r w:rsidRPr="00BD050D">
        <w:rPr>
          <w:rFonts w:asciiTheme="minorHAnsi" w:hAnsiTheme="minorHAnsi" w:cstheme="minorHAnsi"/>
          <w:color w:val="auto"/>
          <w:lang w:val="en-US"/>
        </w:rPr>
        <w:t>Improved quality of data (vs. custom data request)</w:t>
      </w:r>
    </w:p>
    <w:p w14:paraId="12803706" w14:textId="77777777" w:rsidR="008C7330" w:rsidRPr="00BD050D" w:rsidRDefault="000164E5" w:rsidP="00F95D18">
      <w:pPr>
        <w:pStyle w:val="Default"/>
        <w:numPr>
          <w:ilvl w:val="0"/>
          <w:numId w:val="8"/>
        </w:numPr>
        <w:rPr>
          <w:rFonts w:asciiTheme="minorHAnsi" w:hAnsiTheme="minorHAnsi" w:cstheme="minorHAnsi"/>
          <w:color w:val="auto"/>
          <w:lang w:val="en-US"/>
        </w:rPr>
      </w:pPr>
      <w:r w:rsidRPr="00BD050D">
        <w:rPr>
          <w:rFonts w:asciiTheme="minorHAnsi" w:hAnsiTheme="minorHAnsi" w:cstheme="minorHAnsi"/>
          <w:color w:val="auto"/>
          <w:lang w:val="en-US"/>
        </w:rPr>
        <w:t xml:space="preserve">Reduced cost versus custom IT tools development and training </w:t>
      </w:r>
    </w:p>
    <w:p w14:paraId="5BCB9DDF" w14:textId="77777777" w:rsidR="001F484D" w:rsidRPr="00BD050D" w:rsidRDefault="001F484D" w:rsidP="001F484D">
      <w:pPr>
        <w:pStyle w:val="Default"/>
        <w:rPr>
          <w:rFonts w:asciiTheme="minorHAnsi" w:hAnsiTheme="minorHAnsi" w:cstheme="minorHAnsi"/>
          <w:color w:val="auto"/>
          <w:lang w:val="en-US"/>
        </w:rPr>
      </w:pPr>
    </w:p>
    <w:p w14:paraId="62992D54" w14:textId="498EE098" w:rsidR="00CC2F4C" w:rsidRPr="00BD050D" w:rsidRDefault="00CC2F4C" w:rsidP="00CC2F4C">
      <w:pPr>
        <w:rPr>
          <w:rFonts w:cstheme="minorHAnsi"/>
          <w:sz w:val="24"/>
          <w:szCs w:val="24"/>
        </w:rPr>
      </w:pPr>
      <w:r w:rsidRPr="00BD050D">
        <w:rPr>
          <w:rFonts w:cstheme="minorHAnsi"/>
          <w:sz w:val="24"/>
          <w:szCs w:val="24"/>
        </w:rPr>
        <w:t xml:space="preserve">IPC-1754 sets out the data to be passed between requester and </w:t>
      </w:r>
      <w:r w:rsidR="00541B94" w:rsidRPr="00BD050D">
        <w:rPr>
          <w:rFonts w:cstheme="minorHAnsi"/>
          <w:sz w:val="24"/>
          <w:szCs w:val="24"/>
        </w:rPr>
        <w:t>supplier</w:t>
      </w:r>
      <w:r w:rsidRPr="00BD050D">
        <w:rPr>
          <w:rFonts w:cstheme="minorHAnsi"/>
          <w:sz w:val="24"/>
          <w:szCs w:val="24"/>
        </w:rPr>
        <w:t xml:space="preserve"> using standardized schema. It provides the ability for requestors to define which parts they seek declarations for. It provides suppliers the opportunity to </w:t>
      </w:r>
      <w:r w:rsidR="00541B94" w:rsidRPr="00BD050D">
        <w:rPr>
          <w:rFonts w:cstheme="minorHAnsi"/>
          <w:sz w:val="24"/>
          <w:szCs w:val="24"/>
        </w:rPr>
        <w:t>provide</w:t>
      </w:r>
      <w:r w:rsidRPr="00BD050D">
        <w:rPr>
          <w:rFonts w:cstheme="minorHAnsi"/>
          <w:sz w:val="24"/>
          <w:szCs w:val="24"/>
        </w:rPr>
        <w:t xml:space="preserve"> a declaration to all their customers using </w:t>
      </w:r>
      <w:r w:rsidR="006E05EE" w:rsidRPr="00BD050D">
        <w:rPr>
          <w:rFonts w:cstheme="minorHAnsi"/>
          <w:sz w:val="24"/>
          <w:szCs w:val="24"/>
        </w:rPr>
        <w:t>a</w:t>
      </w:r>
      <w:r w:rsidRPr="00BD050D">
        <w:rPr>
          <w:rFonts w:cstheme="minorHAnsi"/>
          <w:sz w:val="24"/>
          <w:szCs w:val="24"/>
        </w:rPr>
        <w:t xml:space="preserve"> </w:t>
      </w:r>
      <w:r w:rsidR="006E05EE" w:rsidRPr="00BD050D">
        <w:rPr>
          <w:rFonts w:cstheme="minorHAnsi"/>
          <w:sz w:val="24"/>
          <w:szCs w:val="24"/>
        </w:rPr>
        <w:t>distribution</w:t>
      </w:r>
      <w:r w:rsidRPr="00BD050D">
        <w:rPr>
          <w:rFonts w:cstheme="minorHAnsi"/>
          <w:sz w:val="24"/>
          <w:szCs w:val="24"/>
        </w:rPr>
        <w:t xml:space="preserve"> option.  It also provides the ability for a responder to collate their supplier data, as applicable, as part of their declaration to their customer. </w:t>
      </w:r>
    </w:p>
    <w:p w14:paraId="296CEBD3" w14:textId="108006BB" w:rsidR="00CC2F4C" w:rsidRPr="00BD050D" w:rsidRDefault="00541B94" w:rsidP="00CC2F4C">
      <w:pPr>
        <w:rPr>
          <w:rFonts w:cstheme="minorHAnsi"/>
          <w:sz w:val="24"/>
          <w:szCs w:val="24"/>
        </w:rPr>
      </w:pPr>
      <w:r w:rsidRPr="00BD050D">
        <w:rPr>
          <w:rFonts w:cstheme="minorHAnsi"/>
          <w:sz w:val="24"/>
          <w:szCs w:val="24"/>
        </w:rPr>
        <w:t>S</w:t>
      </w:r>
      <w:r w:rsidR="00CC2F4C" w:rsidRPr="00BD050D">
        <w:rPr>
          <w:rFonts w:cstheme="minorHAnsi"/>
          <w:sz w:val="24"/>
          <w:szCs w:val="24"/>
        </w:rPr>
        <w:t xml:space="preserve">olution providers </w:t>
      </w:r>
      <w:r w:rsidRPr="00BD050D">
        <w:rPr>
          <w:rFonts w:cstheme="minorHAnsi"/>
          <w:sz w:val="24"/>
          <w:szCs w:val="24"/>
        </w:rPr>
        <w:t xml:space="preserve">have </w:t>
      </w:r>
      <w:r w:rsidR="00CC2F4C" w:rsidRPr="00BD050D">
        <w:rPr>
          <w:rFonts w:cstheme="minorHAnsi"/>
          <w:sz w:val="24"/>
          <w:szCs w:val="24"/>
        </w:rPr>
        <w:t>create</w:t>
      </w:r>
      <w:r w:rsidRPr="00BD050D">
        <w:rPr>
          <w:rFonts w:cstheme="minorHAnsi"/>
          <w:sz w:val="24"/>
          <w:szCs w:val="24"/>
        </w:rPr>
        <w:t>d</w:t>
      </w:r>
      <w:r w:rsidR="00CC2F4C" w:rsidRPr="00BD050D">
        <w:rPr>
          <w:rFonts w:cstheme="minorHAnsi"/>
          <w:sz w:val="24"/>
          <w:szCs w:val="24"/>
        </w:rPr>
        <w:t xml:space="preserve"> </w:t>
      </w:r>
      <w:r w:rsidR="00E306B0" w:rsidRPr="00BD050D">
        <w:rPr>
          <w:rFonts w:cstheme="minorHAnsi"/>
          <w:sz w:val="24"/>
          <w:szCs w:val="24"/>
        </w:rPr>
        <w:t xml:space="preserve">stand-alone </w:t>
      </w:r>
      <w:r w:rsidR="00CC2F4C" w:rsidRPr="00BD050D">
        <w:rPr>
          <w:rFonts w:cstheme="minorHAnsi"/>
          <w:sz w:val="24"/>
          <w:szCs w:val="24"/>
        </w:rPr>
        <w:t xml:space="preserve">software products </w:t>
      </w:r>
      <w:r w:rsidR="00E306B0" w:rsidRPr="00BD050D">
        <w:rPr>
          <w:rFonts w:cstheme="minorHAnsi"/>
          <w:sz w:val="24"/>
          <w:szCs w:val="24"/>
        </w:rPr>
        <w:t xml:space="preserve">for </w:t>
      </w:r>
      <w:r w:rsidR="00CC2F4C" w:rsidRPr="00BD050D">
        <w:rPr>
          <w:rFonts w:cstheme="minorHAnsi"/>
          <w:sz w:val="24"/>
          <w:szCs w:val="24"/>
        </w:rPr>
        <w:t>declaration generation</w:t>
      </w:r>
      <w:r w:rsidR="00E306B0" w:rsidRPr="00BD050D">
        <w:rPr>
          <w:rFonts w:cstheme="minorHAnsi"/>
          <w:sz w:val="24"/>
          <w:szCs w:val="24"/>
        </w:rPr>
        <w:t xml:space="preserve"> and </w:t>
      </w:r>
      <w:r w:rsidR="00CC2F4C" w:rsidRPr="00BD050D">
        <w:rPr>
          <w:rFonts w:cstheme="minorHAnsi"/>
          <w:sz w:val="24"/>
          <w:szCs w:val="24"/>
        </w:rPr>
        <w:t xml:space="preserve">materials and substance data </w:t>
      </w:r>
      <w:r w:rsidR="00E306B0" w:rsidRPr="00BD050D">
        <w:rPr>
          <w:rFonts w:cstheme="minorHAnsi"/>
          <w:sz w:val="24"/>
          <w:szCs w:val="24"/>
        </w:rPr>
        <w:t>management</w:t>
      </w:r>
      <w:r w:rsidR="00CC2F4C" w:rsidRPr="00BD050D">
        <w:rPr>
          <w:rFonts w:cstheme="minorHAnsi"/>
          <w:sz w:val="24"/>
          <w:szCs w:val="24"/>
        </w:rPr>
        <w:t xml:space="preserve"> </w:t>
      </w:r>
      <w:r w:rsidRPr="00BD050D">
        <w:rPr>
          <w:rFonts w:cstheme="minorHAnsi"/>
          <w:sz w:val="24"/>
          <w:szCs w:val="24"/>
        </w:rPr>
        <w:t>and can</w:t>
      </w:r>
      <w:r w:rsidR="00CC2F4C" w:rsidRPr="00BD050D">
        <w:rPr>
          <w:rFonts w:cstheme="minorHAnsi"/>
          <w:sz w:val="24"/>
          <w:szCs w:val="24"/>
        </w:rPr>
        <w:t xml:space="preserve"> </w:t>
      </w:r>
      <w:r w:rsidR="00E306B0" w:rsidRPr="00BD050D">
        <w:rPr>
          <w:rFonts w:cstheme="minorHAnsi"/>
          <w:sz w:val="24"/>
          <w:szCs w:val="24"/>
        </w:rPr>
        <w:t xml:space="preserve">integrate these </w:t>
      </w:r>
      <w:r w:rsidR="00CC2F4C" w:rsidRPr="00BD050D">
        <w:rPr>
          <w:rFonts w:cstheme="minorHAnsi"/>
          <w:sz w:val="24"/>
          <w:szCs w:val="24"/>
        </w:rPr>
        <w:t xml:space="preserve">features into existing </w:t>
      </w:r>
      <w:r w:rsidR="00946405" w:rsidRPr="00BD050D">
        <w:rPr>
          <w:rFonts w:cstheme="minorHAnsi"/>
          <w:sz w:val="24"/>
          <w:szCs w:val="24"/>
        </w:rPr>
        <w:t>Product Lifecycle Management (</w:t>
      </w:r>
      <w:r w:rsidR="00CC2F4C" w:rsidRPr="00BD050D">
        <w:rPr>
          <w:rFonts w:cstheme="minorHAnsi"/>
          <w:sz w:val="24"/>
          <w:szCs w:val="24"/>
        </w:rPr>
        <w:t>PLM</w:t>
      </w:r>
      <w:r w:rsidR="00946405" w:rsidRPr="00BD050D">
        <w:rPr>
          <w:rFonts w:cstheme="minorHAnsi"/>
          <w:sz w:val="24"/>
          <w:szCs w:val="24"/>
        </w:rPr>
        <w:t>)</w:t>
      </w:r>
      <w:r w:rsidR="00CC2F4C" w:rsidRPr="00BD050D">
        <w:rPr>
          <w:rFonts w:cstheme="minorHAnsi"/>
          <w:sz w:val="24"/>
          <w:szCs w:val="24"/>
        </w:rPr>
        <w:t xml:space="preserve"> or </w:t>
      </w:r>
      <w:r w:rsidR="00946405" w:rsidRPr="00BD050D">
        <w:rPr>
          <w:rFonts w:cstheme="minorHAnsi"/>
          <w:sz w:val="24"/>
          <w:szCs w:val="24"/>
        </w:rPr>
        <w:t>Enterprise Resource Planning (</w:t>
      </w:r>
      <w:r w:rsidR="00CC2F4C" w:rsidRPr="00BD050D">
        <w:rPr>
          <w:rFonts w:cstheme="minorHAnsi"/>
          <w:sz w:val="24"/>
          <w:szCs w:val="24"/>
        </w:rPr>
        <w:t>ERP</w:t>
      </w:r>
      <w:r w:rsidR="00946405" w:rsidRPr="00BD050D">
        <w:rPr>
          <w:rFonts w:cstheme="minorHAnsi"/>
          <w:sz w:val="24"/>
          <w:szCs w:val="24"/>
        </w:rPr>
        <w:t>)</w:t>
      </w:r>
      <w:r w:rsidR="00CC2F4C" w:rsidRPr="00BD050D">
        <w:rPr>
          <w:rFonts w:cstheme="minorHAnsi"/>
          <w:sz w:val="24"/>
          <w:szCs w:val="24"/>
        </w:rPr>
        <w:t xml:space="preserve"> systems.  </w:t>
      </w:r>
    </w:p>
    <w:p w14:paraId="529FBE3D" w14:textId="77777777" w:rsidR="001C7247" w:rsidRPr="00BD050D" w:rsidRDefault="001C7247" w:rsidP="001C7247">
      <w:pPr>
        <w:pStyle w:val="Default"/>
        <w:rPr>
          <w:rFonts w:asciiTheme="minorHAnsi" w:hAnsiTheme="minorHAnsi" w:cstheme="minorHAnsi"/>
          <w:color w:val="auto"/>
          <w:lang w:val="en-US"/>
        </w:rPr>
      </w:pPr>
    </w:p>
    <w:p w14:paraId="4847D294" w14:textId="6E89FC34" w:rsidR="00071DAE" w:rsidRPr="00BD050D" w:rsidRDefault="00E3611E" w:rsidP="00071DAE">
      <w:pPr>
        <w:widowControl w:val="0"/>
        <w:rPr>
          <w:rFonts w:cstheme="minorHAnsi"/>
          <w:b/>
          <w:bCs/>
          <w:sz w:val="24"/>
          <w:szCs w:val="24"/>
          <w:u w:val="single"/>
        </w:rPr>
      </w:pPr>
      <w:r w:rsidRPr="00BD050D">
        <w:rPr>
          <w:rFonts w:cstheme="minorHAnsi"/>
          <w:b/>
          <w:bCs/>
          <w:sz w:val="24"/>
          <w:szCs w:val="24"/>
          <w:u w:val="single"/>
        </w:rPr>
        <w:t xml:space="preserve">3.0 </w:t>
      </w:r>
      <w:r w:rsidR="0039657A" w:rsidRPr="00BD050D">
        <w:rPr>
          <w:rFonts w:cstheme="minorHAnsi"/>
          <w:b/>
          <w:bCs/>
          <w:sz w:val="24"/>
          <w:szCs w:val="24"/>
          <w:u w:val="single"/>
        </w:rPr>
        <w:t>Material Declaration Considerations</w:t>
      </w:r>
    </w:p>
    <w:p w14:paraId="09D9E432" w14:textId="77777777" w:rsidR="00541B94" w:rsidRPr="00BD050D" w:rsidRDefault="00541B94" w:rsidP="00541B94">
      <w:pPr>
        <w:widowControl w:val="0"/>
        <w:rPr>
          <w:rFonts w:cstheme="minorHAnsi"/>
          <w:sz w:val="24"/>
          <w:szCs w:val="24"/>
        </w:rPr>
      </w:pPr>
      <w:r w:rsidRPr="00BD050D">
        <w:rPr>
          <w:rFonts w:cstheme="minorHAnsi"/>
          <w:sz w:val="24"/>
          <w:szCs w:val="24"/>
        </w:rPr>
        <w:t xml:space="preserve">A basic question that any organization needs to answer is “What are the obligations for reporting materials and substance declaration data?”   If not clearly understood by those receiving a declaration request, organizations that can help answer the questions about why </w:t>
      </w:r>
      <w:proofErr w:type="gramStart"/>
      <w:r w:rsidRPr="00BD050D">
        <w:rPr>
          <w:rFonts w:cstheme="minorHAnsi"/>
          <w:sz w:val="24"/>
          <w:szCs w:val="24"/>
        </w:rPr>
        <w:t>am I</w:t>
      </w:r>
      <w:proofErr w:type="gramEnd"/>
      <w:r w:rsidRPr="00BD050D">
        <w:rPr>
          <w:rFonts w:cstheme="minorHAnsi"/>
          <w:sz w:val="24"/>
          <w:szCs w:val="24"/>
        </w:rPr>
        <w:t xml:space="preserve"> doing this and what is needed to protect my company while fulfilling our obligations to our customers and government organizations include:</w:t>
      </w:r>
    </w:p>
    <w:p w14:paraId="07140AAA" w14:textId="77777777" w:rsidR="00541B94" w:rsidRPr="00BD050D" w:rsidRDefault="00541B94" w:rsidP="00541B94">
      <w:pPr>
        <w:widowControl w:val="0"/>
        <w:spacing w:before="0"/>
        <w:ind w:left="720"/>
        <w:rPr>
          <w:rFonts w:cstheme="minorHAnsi"/>
          <w:sz w:val="24"/>
          <w:szCs w:val="24"/>
        </w:rPr>
      </w:pPr>
      <w:r w:rsidRPr="00BD050D">
        <w:rPr>
          <w:rFonts w:cstheme="minorHAnsi"/>
          <w:sz w:val="24"/>
          <w:szCs w:val="24"/>
        </w:rPr>
        <w:t xml:space="preserve">Legal </w:t>
      </w:r>
    </w:p>
    <w:p w14:paraId="26E9DBF7" w14:textId="77777777" w:rsidR="00541B94" w:rsidRPr="00BD050D" w:rsidRDefault="00541B94" w:rsidP="00541B94">
      <w:pPr>
        <w:widowControl w:val="0"/>
        <w:spacing w:before="0"/>
        <w:ind w:left="720"/>
        <w:rPr>
          <w:rFonts w:cstheme="minorHAnsi"/>
          <w:sz w:val="24"/>
          <w:szCs w:val="24"/>
        </w:rPr>
      </w:pPr>
      <w:r w:rsidRPr="00BD050D">
        <w:rPr>
          <w:rFonts w:cstheme="minorHAnsi"/>
          <w:sz w:val="24"/>
          <w:szCs w:val="24"/>
        </w:rPr>
        <w:t>Program or Product Management</w:t>
      </w:r>
    </w:p>
    <w:p w14:paraId="74A8507F" w14:textId="77777777" w:rsidR="00541B94" w:rsidRPr="00BD050D" w:rsidRDefault="00541B94" w:rsidP="00541B94">
      <w:pPr>
        <w:widowControl w:val="0"/>
        <w:spacing w:before="0"/>
        <w:ind w:left="720"/>
        <w:rPr>
          <w:rFonts w:cstheme="minorHAnsi"/>
          <w:sz w:val="24"/>
          <w:szCs w:val="24"/>
        </w:rPr>
      </w:pPr>
      <w:r w:rsidRPr="00BD050D">
        <w:rPr>
          <w:rFonts w:cstheme="minorHAnsi"/>
          <w:sz w:val="24"/>
          <w:szCs w:val="24"/>
        </w:rPr>
        <w:t>Contracts</w:t>
      </w:r>
    </w:p>
    <w:p w14:paraId="7825132A" w14:textId="77777777" w:rsidR="00541B94" w:rsidRPr="00BD050D" w:rsidRDefault="00541B94" w:rsidP="00541B94">
      <w:pPr>
        <w:widowControl w:val="0"/>
        <w:spacing w:before="0"/>
        <w:ind w:left="720"/>
        <w:rPr>
          <w:rFonts w:cstheme="minorHAnsi"/>
          <w:sz w:val="24"/>
          <w:szCs w:val="24"/>
        </w:rPr>
      </w:pPr>
      <w:r w:rsidRPr="00BD050D">
        <w:rPr>
          <w:rFonts w:cstheme="minorHAnsi"/>
          <w:sz w:val="24"/>
          <w:szCs w:val="24"/>
        </w:rPr>
        <w:t>Corporate or Social Responsibility</w:t>
      </w:r>
    </w:p>
    <w:p w14:paraId="415D3C5A" w14:textId="77777777" w:rsidR="00541B94" w:rsidRPr="00BD050D" w:rsidRDefault="00541B94" w:rsidP="00541B94">
      <w:pPr>
        <w:widowControl w:val="0"/>
        <w:spacing w:before="0"/>
        <w:ind w:left="720"/>
        <w:rPr>
          <w:rFonts w:cstheme="minorHAnsi"/>
          <w:sz w:val="24"/>
          <w:szCs w:val="24"/>
        </w:rPr>
      </w:pPr>
      <w:r w:rsidRPr="00BD050D">
        <w:rPr>
          <w:rFonts w:cstheme="minorHAnsi"/>
          <w:sz w:val="24"/>
          <w:szCs w:val="24"/>
        </w:rPr>
        <w:t>Government Affairs</w:t>
      </w:r>
    </w:p>
    <w:p w14:paraId="30E1198B" w14:textId="341F0503" w:rsidR="00541B94" w:rsidRPr="00BD050D" w:rsidRDefault="00541B94" w:rsidP="00541B94">
      <w:pPr>
        <w:widowControl w:val="0"/>
        <w:spacing w:before="0"/>
        <w:ind w:left="720"/>
        <w:rPr>
          <w:rFonts w:cstheme="minorHAnsi"/>
          <w:sz w:val="24"/>
          <w:szCs w:val="24"/>
        </w:rPr>
      </w:pPr>
      <w:r w:rsidRPr="00BD050D">
        <w:rPr>
          <w:rFonts w:cstheme="minorHAnsi"/>
          <w:sz w:val="24"/>
          <w:szCs w:val="24"/>
        </w:rPr>
        <w:t>Global Operations</w:t>
      </w:r>
    </w:p>
    <w:p w14:paraId="25100A00" w14:textId="0BB16704" w:rsidR="00D71786" w:rsidRPr="00BD050D" w:rsidRDefault="00D71786" w:rsidP="00541B94">
      <w:pPr>
        <w:widowControl w:val="0"/>
        <w:spacing w:before="0"/>
        <w:ind w:left="720"/>
        <w:rPr>
          <w:rFonts w:cstheme="minorHAnsi"/>
          <w:sz w:val="24"/>
          <w:szCs w:val="24"/>
        </w:rPr>
      </w:pPr>
      <w:r w:rsidRPr="00BD050D">
        <w:rPr>
          <w:rFonts w:cstheme="minorHAnsi"/>
          <w:sz w:val="24"/>
          <w:szCs w:val="24"/>
        </w:rPr>
        <w:t>Engineering</w:t>
      </w:r>
    </w:p>
    <w:p w14:paraId="79560416" w14:textId="1EC50BF9" w:rsidR="00071DAE" w:rsidRPr="00BD050D" w:rsidRDefault="00D71786" w:rsidP="00443D98">
      <w:pPr>
        <w:widowControl w:val="0"/>
        <w:spacing w:before="0"/>
        <w:ind w:left="720"/>
        <w:rPr>
          <w:rFonts w:cstheme="minorHAnsi"/>
          <w:sz w:val="24"/>
          <w:szCs w:val="24"/>
        </w:rPr>
      </w:pPr>
      <w:r w:rsidRPr="00BD050D">
        <w:rPr>
          <w:rFonts w:cstheme="minorHAnsi"/>
          <w:sz w:val="24"/>
          <w:szCs w:val="24"/>
        </w:rPr>
        <w:t>Environment, Health &amp; Safety (EHS)</w:t>
      </w:r>
    </w:p>
    <w:p w14:paraId="4C75AFC1" w14:textId="1A5AB8F2" w:rsidR="00071DAE" w:rsidRPr="00BD050D" w:rsidRDefault="00071DAE" w:rsidP="00071DAE">
      <w:pPr>
        <w:rPr>
          <w:rFonts w:cstheme="minorHAnsi"/>
          <w:sz w:val="24"/>
          <w:szCs w:val="24"/>
        </w:rPr>
      </w:pPr>
      <w:r w:rsidRPr="00BD050D">
        <w:rPr>
          <w:rFonts w:cstheme="minorHAnsi"/>
          <w:sz w:val="24"/>
          <w:szCs w:val="24"/>
        </w:rPr>
        <w:t xml:space="preserve">Within company structures, there </w:t>
      </w:r>
      <w:r w:rsidR="00D71786" w:rsidRPr="00BD050D">
        <w:rPr>
          <w:rFonts w:cstheme="minorHAnsi"/>
          <w:sz w:val="24"/>
          <w:szCs w:val="24"/>
        </w:rPr>
        <w:t>may be other departments</w:t>
      </w:r>
      <w:r w:rsidRPr="00BD050D">
        <w:rPr>
          <w:rFonts w:cstheme="minorHAnsi"/>
          <w:sz w:val="24"/>
          <w:szCs w:val="24"/>
        </w:rPr>
        <w:t xml:space="preserve"> that are stakeholders in a materials and substance declaration program that </w:t>
      </w:r>
      <w:r w:rsidR="00D71786" w:rsidRPr="00BD050D">
        <w:rPr>
          <w:rFonts w:cstheme="minorHAnsi"/>
          <w:sz w:val="24"/>
          <w:szCs w:val="24"/>
        </w:rPr>
        <w:t xml:space="preserve">may </w:t>
      </w:r>
      <w:r w:rsidRPr="00BD050D">
        <w:rPr>
          <w:rFonts w:cstheme="minorHAnsi"/>
          <w:sz w:val="24"/>
          <w:szCs w:val="24"/>
        </w:rPr>
        <w:t>need to agree on the use and internal structure of managing materials and substances data</w:t>
      </w:r>
      <w:r w:rsidR="00D71786" w:rsidRPr="00BD050D">
        <w:rPr>
          <w:rFonts w:cstheme="minorHAnsi"/>
          <w:sz w:val="24"/>
          <w:szCs w:val="24"/>
        </w:rPr>
        <w:t xml:space="preserve">.  </w:t>
      </w:r>
    </w:p>
    <w:p w14:paraId="59E4695C" w14:textId="77777777" w:rsidR="00071DAE" w:rsidRPr="00BD050D" w:rsidRDefault="00071DAE" w:rsidP="00071DAE">
      <w:pPr>
        <w:rPr>
          <w:rFonts w:cstheme="minorHAnsi"/>
          <w:sz w:val="24"/>
          <w:szCs w:val="24"/>
        </w:rPr>
      </w:pPr>
      <w:r w:rsidRPr="00BD050D">
        <w:rPr>
          <w:rFonts w:cstheme="minorHAnsi"/>
          <w:sz w:val="24"/>
          <w:szCs w:val="24"/>
        </w:rPr>
        <w:t xml:space="preserve">For example: </w:t>
      </w:r>
    </w:p>
    <w:p w14:paraId="3156895F" w14:textId="0F534070" w:rsidR="00761701" w:rsidRPr="00BD050D" w:rsidRDefault="00761701" w:rsidP="00071DAE">
      <w:pPr>
        <w:pStyle w:val="ListParagraph"/>
        <w:numPr>
          <w:ilvl w:val="0"/>
          <w:numId w:val="7"/>
        </w:numPr>
        <w:spacing w:before="0"/>
        <w:rPr>
          <w:rFonts w:cstheme="minorHAnsi"/>
          <w:sz w:val="24"/>
          <w:szCs w:val="24"/>
        </w:rPr>
      </w:pPr>
      <w:r w:rsidRPr="00BD050D">
        <w:rPr>
          <w:rFonts w:cstheme="minorHAnsi"/>
          <w:sz w:val="24"/>
          <w:szCs w:val="24"/>
        </w:rPr>
        <w:t xml:space="preserve">Legal </w:t>
      </w:r>
    </w:p>
    <w:p w14:paraId="7D7C1DB1" w14:textId="314F7325" w:rsidR="00D71786" w:rsidRPr="00BD050D" w:rsidRDefault="00D71786" w:rsidP="00761701">
      <w:pPr>
        <w:pStyle w:val="ListParagraph"/>
        <w:numPr>
          <w:ilvl w:val="1"/>
          <w:numId w:val="7"/>
        </w:numPr>
        <w:spacing w:before="0"/>
        <w:rPr>
          <w:rFonts w:cstheme="minorHAnsi"/>
          <w:sz w:val="24"/>
          <w:szCs w:val="24"/>
        </w:rPr>
      </w:pPr>
      <w:r w:rsidRPr="00BD050D">
        <w:rPr>
          <w:rFonts w:cstheme="minorHAnsi"/>
          <w:sz w:val="24"/>
          <w:szCs w:val="24"/>
        </w:rPr>
        <w:t>Regulatory a</w:t>
      </w:r>
      <w:r w:rsidR="00071DAE" w:rsidRPr="00BD050D">
        <w:rPr>
          <w:rFonts w:cstheme="minorHAnsi"/>
          <w:sz w:val="24"/>
          <w:szCs w:val="24"/>
        </w:rPr>
        <w:t xml:space="preserve">ssessment </w:t>
      </w:r>
      <w:r w:rsidR="00045209" w:rsidRPr="00BD050D">
        <w:rPr>
          <w:rFonts w:cstheme="minorHAnsi"/>
          <w:sz w:val="24"/>
          <w:szCs w:val="24"/>
        </w:rPr>
        <w:t>– Assessment of regulatory requirements</w:t>
      </w:r>
    </w:p>
    <w:p w14:paraId="2AAADDFE" w14:textId="46AFECED" w:rsidR="00071DAE" w:rsidRPr="00BD050D" w:rsidRDefault="00D71786" w:rsidP="00761701">
      <w:pPr>
        <w:pStyle w:val="ListParagraph"/>
        <w:numPr>
          <w:ilvl w:val="1"/>
          <w:numId w:val="7"/>
        </w:numPr>
        <w:spacing w:before="0"/>
        <w:rPr>
          <w:rFonts w:cstheme="minorHAnsi"/>
          <w:sz w:val="24"/>
          <w:szCs w:val="24"/>
        </w:rPr>
      </w:pPr>
      <w:r w:rsidRPr="00BD050D">
        <w:rPr>
          <w:rFonts w:cstheme="minorHAnsi"/>
          <w:sz w:val="24"/>
          <w:szCs w:val="24"/>
        </w:rPr>
        <w:t>C</w:t>
      </w:r>
      <w:r w:rsidR="00071DAE" w:rsidRPr="00BD050D">
        <w:rPr>
          <w:rFonts w:cstheme="minorHAnsi"/>
          <w:sz w:val="24"/>
          <w:szCs w:val="24"/>
        </w:rPr>
        <w:t>ontract compliance</w:t>
      </w:r>
      <w:r w:rsidR="00045209" w:rsidRPr="00BD050D">
        <w:rPr>
          <w:rFonts w:cstheme="minorHAnsi"/>
          <w:sz w:val="24"/>
          <w:szCs w:val="24"/>
        </w:rPr>
        <w:t xml:space="preserve"> – Adherence to contractual requirements</w:t>
      </w:r>
    </w:p>
    <w:p w14:paraId="22F5CD2F" w14:textId="38CCD5B7" w:rsidR="00761701" w:rsidRPr="00BD050D" w:rsidRDefault="00761701" w:rsidP="00761701">
      <w:pPr>
        <w:pStyle w:val="ListParagraph"/>
        <w:numPr>
          <w:ilvl w:val="1"/>
          <w:numId w:val="7"/>
        </w:numPr>
        <w:spacing w:before="0"/>
        <w:rPr>
          <w:rFonts w:cstheme="minorHAnsi"/>
          <w:sz w:val="24"/>
          <w:szCs w:val="24"/>
        </w:rPr>
      </w:pPr>
      <w:r w:rsidRPr="00BD050D">
        <w:rPr>
          <w:rFonts w:cstheme="minorHAnsi"/>
          <w:sz w:val="24"/>
          <w:szCs w:val="24"/>
        </w:rPr>
        <w:t>Risk Management – Risk of business disruption</w:t>
      </w:r>
    </w:p>
    <w:p w14:paraId="5FB3DFB6" w14:textId="1CB85092" w:rsidR="00761701" w:rsidRPr="00BD050D" w:rsidRDefault="00761701" w:rsidP="00071DAE">
      <w:pPr>
        <w:pStyle w:val="ListParagraph"/>
        <w:numPr>
          <w:ilvl w:val="0"/>
          <w:numId w:val="7"/>
        </w:numPr>
        <w:spacing w:before="0"/>
        <w:rPr>
          <w:rFonts w:cstheme="minorHAnsi"/>
          <w:sz w:val="24"/>
          <w:szCs w:val="24"/>
        </w:rPr>
      </w:pPr>
      <w:r w:rsidRPr="00BD050D">
        <w:rPr>
          <w:rFonts w:cstheme="minorHAnsi"/>
          <w:sz w:val="24"/>
          <w:szCs w:val="24"/>
        </w:rPr>
        <w:t>Engineering</w:t>
      </w:r>
    </w:p>
    <w:p w14:paraId="414FF3CC" w14:textId="4CA17AC3" w:rsidR="00761701" w:rsidRPr="00BD050D" w:rsidRDefault="00761701" w:rsidP="00761701">
      <w:pPr>
        <w:pStyle w:val="ListParagraph"/>
        <w:numPr>
          <w:ilvl w:val="1"/>
          <w:numId w:val="7"/>
        </w:numPr>
        <w:spacing w:before="0"/>
        <w:rPr>
          <w:rFonts w:cstheme="minorHAnsi"/>
          <w:sz w:val="24"/>
          <w:szCs w:val="24"/>
        </w:rPr>
      </w:pPr>
      <w:r w:rsidRPr="00BD050D">
        <w:rPr>
          <w:rFonts w:cstheme="minorHAnsi"/>
          <w:sz w:val="24"/>
          <w:szCs w:val="24"/>
        </w:rPr>
        <w:t>Materials and Process Engineering – Assessment of materials/substances changes upon product technical performance.   Assessment of constituent material and substance changes upon designs, perform tests, and implement design changes.</w:t>
      </w:r>
    </w:p>
    <w:p w14:paraId="69EF6F28" w14:textId="60237C59" w:rsidR="00761701" w:rsidRPr="00BD050D" w:rsidRDefault="00761701" w:rsidP="00761701">
      <w:pPr>
        <w:pStyle w:val="ListParagraph"/>
        <w:numPr>
          <w:ilvl w:val="1"/>
          <w:numId w:val="7"/>
        </w:numPr>
        <w:spacing w:before="0"/>
        <w:rPr>
          <w:rFonts w:cstheme="minorHAnsi"/>
          <w:sz w:val="24"/>
          <w:szCs w:val="24"/>
        </w:rPr>
      </w:pPr>
      <w:r w:rsidRPr="00BD050D">
        <w:rPr>
          <w:rFonts w:cstheme="minorHAnsi"/>
          <w:sz w:val="24"/>
          <w:szCs w:val="24"/>
        </w:rPr>
        <w:t>Manufacturing Engineering/Operations – Process engineering material/substance modifications and substance use databases.</w:t>
      </w:r>
    </w:p>
    <w:p w14:paraId="4AA380A8" w14:textId="2A6C9FFD" w:rsidR="00761701" w:rsidRPr="00BD050D" w:rsidRDefault="00761701" w:rsidP="00071DAE">
      <w:pPr>
        <w:pStyle w:val="ListParagraph"/>
        <w:numPr>
          <w:ilvl w:val="0"/>
          <w:numId w:val="7"/>
        </w:numPr>
        <w:spacing w:before="0"/>
        <w:rPr>
          <w:rFonts w:cstheme="minorHAnsi"/>
          <w:sz w:val="24"/>
          <w:szCs w:val="24"/>
        </w:rPr>
      </w:pPr>
      <w:r w:rsidRPr="00BD050D">
        <w:rPr>
          <w:rFonts w:cstheme="minorHAnsi"/>
          <w:sz w:val="24"/>
          <w:szCs w:val="24"/>
        </w:rPr>
        <w:t xml:space="preserve">Supply Chain </w:t>
      </w:r>
    </w:p>
    <w:p w14:paraId="108634C6" w14:textId="566393B9" w:rsidR="00071DAE" w:rsidRPr="00BD050D" w:rsidRDefault="00071DAE" w:rsidP="00761701">
      <w:pPr>
        <w:pStyle w:val="ListParagraph"/>
        <w:numPr>
          <w:ilvl w:val="1"/>
          <w:numId w:val="7"/>
        </w:numPr>
        <w:spacing w:before="0"/>
        <w:rPr>
          <w:rFonts w:cstheme="minorHAnsi"/>
          <w:sz w:val="24"/>
          <w:szCs w:val="24"/>
        </w:rPr>
      </w:pPr>
      <w:r w:rsidRPr="00BD050D">
        <w:rPr>
          <w:rFonts w:cstheme="minorHAnsi"/>
          <w:sz w:val="24"/>
          <w:szCs w:val="24"/>
        </w:rPr>
        <w:t>Supplier Management – Supplier surveys</w:t>
      </w:r>
      <w:r w:rsidR="00045209" w:rsidRPr="00BD050D">
        <w:rPr>
          <w:rFonts w:cstheme="minorHAnsi"/>
          <w:sz w:val="24"/>
          <w:szCs w:val="24"/>
        </w:rPr>
        <w:t>, assessment of supplier understanding,</w:t>
      </w:r>
      <w:r w:rsidRPr="00BD050D">
        <w:rPr>
          <w:rFonts w:cstheme="minorHAnsi"/>
          <w:sz w:val="24"/>
          <w:szCs w:val="24"/>
        </w:rPr>
        <w:t xml:space="preserve"> and decision on declaration tool use.</w:t>
      </w:r>
    </w:p>
    <w:p w14:paraId="206B9B47" w14:textId="3CF88610" w:rsidR="00071DAE" w:rsidRPr="00BD050D" w:rsidRDefault="00D71786" w:rsidP="00761701">
      <w:pPr>
        <w:pStyle w:val="ListParagraph"/>
        <w:numPr>
          <w:ilvl w:val="1"/>
          <w:numId w:val="7"/>
        </w:numPr>
        <w:spacing w:before="0"/>
        <w:rPr>
          <w:rFonts w:cstheme="minorHAnsi"/>
          <w:sz w:val="24"/>
          <w:szCs w:val="24"/>
        </w:rPr>
      </w:pPr>
      <w:r w:rsidRPr="00BD050D">
        <w:rPr>
          <w:rFonts w:cstheme="minorHAnsi"/>
          <w:sz w:val="24"/>
          <w:szCs w:val="24"/>
        </w:rPr>
        <w:t>Operations</w:t>
      </w:r>
      <w:r w:rsidR="00071DAE" w:rsidRPr="00BD050D">
        <w:rPr>
          <w:rFonts w:cstheme="minorHAnsi"/>
          <w:sz w:val="24"/>
          <w:szCs w:val="24"/>
        </w:rPr>
        <w:t xml:space="preserve"> – </w:t>
      </w:r>
      <w:r w:rsidRPr="00BD050D">
        <w:rPr>
          <w:rFonts w:cstheme="minorHAnsi"/>
          <w:sz w:val="24"/>
          <w:szCs w:val="24"/>
        </w:rPr>
        <w:t>Identification of substances and potential alternatives</w:t>
      </w:r>
    </w:p>
    <w:p w14:paraId="253BF6A5" w14:textId="0CA7B524" w:rsidR="00761701" w:rsidRPr="00BD050D" w:rsidRDefault="00761701" w:rsidP="00761701">
      <w:pPr>
        <w:pStyle w:val="ListParagraph"/>
        <w:numPr>
          <w:ilvl w:val="1"/>
          <w:numId w:val="7"/>
        </w:numPr>
        <w:spacing w:before="0"/>
        <w:rPr>
          <w:rFonts w:cstheme="minorHAnsi"/>
          <w:sz w:val="24"/>
          <w:szCs w:val="24"/>
        </w:rPr>
      </w:pPr>
      <w:r w:rsidRPr="00BD050D">
        <w:rPr>
          <w:rFonts w:cstheme="minorHAnsi"/>
          <w:sz w:val="24"/>
          <w:szCs w:val="24"/>
        </w:rPr>
        <w:t>Supply and Internal Quality – Assessment of materials/substances changes upon product quality performance.</w:t>
      </w:r>
    </w:p>
    <w:p w14:paraId="5C0396CF" w14:textId="77777777" w:rsidR="002050E4" w:rsidRPr="00BD050D" w:rsidRDefault="00071DAE" w:rsidP="00071DAE">
      <w:pPr>
        <w:pStyle w:val="ListParagraph"/>
        <w:numPr>
          <w:ilvl w:val="0"/>
          <w:numId w:val="7"/>
        </w:numPr>
        <w:spacing w:before="0"/>
        <w:rPr>
          <w:rFonts w:cstheme="minorHAnsi"/>
          <w:sz w:val="24"/>
          <w:szCs w:val="24"/>
        </w:rPr>
      </w:pPr>
      <w:r w:rsidRPr="00BD050D">
        <w:rPr>
          <w:rFonts w:cstheme="minorHAnsi"/>
          <w:sz w:val="24"/>
          <w:szCs w:val="24"/>
        </w:rPr>
        <w:t>IT</w:t>
      </w:r>
    </w:p>
    <w:p w14:paraId="5B30C3CA" w14:textId="54980F77" w:rsidR="00071DAE" w:rsidRPr="00BD050D" w:rsidRDefault="00071DAE" w:rsidP="002050E4">
      <w:pPr>
        <w:pStyle w:val="ListParagraph"/>
        <w:numPr>
          <w:ilvl w:val="1"/>
          <w:numId w:val="7"/>
        </w:numPr>
        <w:spacing w:before="0"/>
        <w:rPr>
          <w:rFonts w:cstheme="minorHAnsi"/>
          <w:sz w:val="24"/>
          <w:szCs w:val="24"/>
        </w:rPr>
      </w:pPr>
      <w:r w:rsidRPr="00BD050D">
        <w:rPr>
          <w:rFonts w:cstheme="minorHAnsi"/>
          <w:sz w:val="24"/>
          <w:szCs w:val="24"/>
        </w:rPr>
        <w:t>IT systems involvement from EHS, PDM, MRP systems integration with the IPC schema and tools and managing software suppliers.  Overall cybersecurity oversight.</w:t>
      </w:r>
    </w:p>
    <w:p w14:paraId="6C492144" w14:textId="00459EDE" w:rsidR="00761701" w:rsidRPr="00BD050D" w:rsidRDefault="00761701" w:rsidP="00071DAE">
      <w:pPr>
        <w:pStyle w:val="ListParagraph"/>
        <w:numPr>
          <w:ilvl w:val="0"/>
          <w:numId w:val="7"/>
        </w:numPr>
        <w:spacing w:before="0"/>
        <w:rPr>
          <w:rFonts w:cstheme="minorHAnsi"/>
          <w:sz w:val="24"/>
          <w:szCs w:val="24"/>
        </w:rPr>
      </w:pPr>
      <w:r w:rsidRPr="00BD050D">
        <w:rPr>
          <w:rFonts w:cstheme="minorHAnsi"/>
          <w:sz w:val="24"/>
          <w:szCs w:val="24"/>
        </w:rPr>
        <w:t>Sales &amp; Program/Product Management</w:t>
      </w:r>
    </w:p>
    <w:p w14:paraId="7A58D2E9" w14:textId="772BD81D" w:rsidR="00071DAE" w:rsidRPr="00BD050D" w:rsidRDefault="00071DAE" w:rsidP="00761701">
      <w:pPr>
        <w:pStyle w:val="ListParagraph"/>
        <w:numPr>
          <w:ilvl w:val="1"/>
          <w:numId w:val="7"/>
        </w:numPr>
        <w:spacing w:before="0"/>
        <w:rPr>
          <w:rFonts w:cstheme="minorHAnsi"/>
          <w:sz w:val="24"/>
          <w:szCs w:val="24"/>
        </w:rPr>
      </w:pPr>
      <w:r w:rsidRPr="00BD050D">
        <w:rPr>
          <w:rFonts w:cstheme="minorHAnsi"/>
          <w:sz w:val="24"/>
          <w:szCs w:val="24"/>
        </w:rPr>
        <w:t>Sales and Marketing – Agreement on messaging relative to full understanding of the constituent chemical/substances in products as well as understanding of industry needs.</w:t>
      </w:r>
    </w:p>
    <w:p w14:paraId="680ED99D" w14:textId="72406132" w:rsidR="00761701" w:rsidRPr="00BD050D" w:rsidRDefault="00761701" w:rsidP="00E744F9">
      <w:pPr>
        <w:pStyle w:val="ListParagraph"/>
        <w:numPr>
          <w:ilvl w:val="1"/>
          <w:numId w:val="7"/>
        </w:numPr>
        <w:spacing w:before="0"/>
        <w:rPr>
          <w:rFonts w:cstheme="minorHAnsi"/>
          <w:sz w:val="24"/>
          <w:szCs w:val="24"/>
        </w:rPr>
      </w:pPr>
      <w:r w:rsidRPr="00BD050D">
        <w:rPr>
          <w:rFonts w:cstheme="minorHAnsi"/>
          <w:sz w:val="24"/>
          <w:szCs w:val="24"/>
        </w:rPr>
        <w:t>Program Management – Funding and customer declarations processing.</w:t>
      </w:r>
    </w:p>
    <w:p w14:paraId="2EB69FF4" w14:textId="77777777" w:rsidR="002050E4" w:rsidRPr="00BD050D" w:rsidRDefault="00071DAE" w:rsidP="00071DAE">
      <w:pPr>
        <w:pStyle w:val="ListParagraph"/>
        <w:numPr>
          <w:ilvl w:val="0"/>
          <w:numId w:val="7"/>
        </w:numPr>
        <w:spacing w:before="0"/>
        <w:rPr>
          <w:rFonts w:cstheme="minorHAnsi"/>
          <w:sz w:val="24"/>
          <w:szCs w:val="24"/>
        </w:rPr>
      </w:pPr>
      <w:r w:rsidRPr="00BD050D">
        <w:rPr>
          <w:rFonts w:cstheme="minorHAnsi"/>
          <w:sz w:val="24"/>
          <w:szCs w:val="24"/>
        </w:rPr>
        <w:t>Aftermarket</w:t>
      </w:r>
    </w:p>
    <w:p w14:paraId="6712D1DB" w14:textId="3F68B362" w:rsidR="00071DAE" w:rsidRPr="00BD050D" w:rsidRDefault="00071DAE" w:rsidP="002050E4">
      <w:pPr>
        <w:pStyle w:val="ListParagraph"/>
        <w:numPr>
          <w:ilvl w:val="1"/>
          <w:numId w:val="7"/>
        </w:numPr>
        <w:spacing w:before="0"/>
        <w:rPr>
          <w:rFonts w:cstheme="minorHAnsi"/>
          <w:sz w:val="24"/>
          <w:szCs w:val="24"/>
        </w:rPr>
      </w:pPr>
      <w:r w:rsidRPr="00BD050D">
        <w:rPr>
          <w:rFonts w:cstheme="minorHAnsi"/>
          <w:sz w:val="24"/>
          <w:szCs w:val="24"/>
        </w:rPr>
        <w:t xml:space="preserve"> Support/Overhaul and Repair - Creation of product manuals and overhaul and repair manuals. Updates when required. Knowledge of repair depot needs internationally.</w:t>
      </w:r>
    </w:p>
    <w:p w14:paraId="42A49804" w14:textId="77777777" w:rsidR="002050E4" w:rsidRPr="00BD050D" w:rsidRDefault="00071DAE" w:rsidP="00071DAE">
      <w:pPr>
        <w:pStyle w:val="ListParagraph"/>
        <w:numPr>
          <w:ilvl w:val="0"/>
          <w:numId w:val="7"/>
        </w:numPr>
        <w:spacing w:before="0"/>
        <w:rPr>
          <w:rFonts w:cstheme="minorHAnsi"/>
          <w:sz w:val="24"/>
          <w:szCs w:val="24"/>
        </w:rPr>
      </w:pPr>
      <w:r w:rsidRPr="00BD050D">
        <w:rPr>
          <w:rFonts w:cstheme="minorHAnsi"/>
          <w:sz w:val="24"/>
          <w:szCs w:val="24"/>
        </w:rPr>
        <w:t>EHS</w:t>
      </w:r>
    </w:p>
    <w:p w14:paraId="0610D13C" w14:textId="6074D88C" w:rsidR="00071DAE" w:rsidRPr="00BD050D" w:rsidRDefault="00071DAE" w:rsidP="002050E4">
      <w:pPr>
        <w:pStyle w:val="ListParagraph"/>
        <w:numPr>
          <w:ilvl w:val="1"/>
          <w:numId w:val="7"/>
        </w:numPr>
        <w:spacing w:before="0"/>
        <w:rPr>
          <w:rFonts w:cstheme="minorHAnsi"/>
          <w:sz w:val="24"/>
          <w:szCs w:val="24"/>
        </w:rPr>
      </w:pPr>
      <w:r w:rsidRPr="00BD050D">
        <w:rPr>
          <w:rFonts w:cstheme="minorHAnsi"/>
          <w:sz w:val="24"/>
          <w:szCs w:val="24"/>
        </w:rPr>
        <w:t>Overall process management assessment including industrial hygiene studies and reports. Company green goals implementation.</w:t>
      </w:r>
    </w:p>
    <w:p w14:paraId="3FA93FC6" w14:textId="51E871BF" w:rsidR="00761701" w:rsidRPr="00BD050D" w:rsidRDefault="00761701" w:rsidP="00E744F9">
      <w:pPr>
        <w:pStyle w:val="ListParagraph"/>
        <w:widowControl w:val="0"/>
        <w:numPr>
          <w:ilvl w:val="0"/>
          <w:numId w:val="7"/>
        </w:numPr>
        <w:spacing w:before="0"/>
        <w:rPr>
          <w:rFonts w:cstheme="minorHAnsi"/>
          <w:sz w:val="24"/>
          <w:szCs w:val="24"/>
        </w:rPr>
      </w:pPr>
      <w:r w:rsidRPr="00BD050D">
        <w:rPr>
          <w:rFonts w:cstheme="minorHAnsi"/>
          <w:sz w:val="24"/>
          <w:szCs w:val="24"/>
        </w:rPr>
        <w:t xml:space="preserve">Product Stewardship </w:t>
      </w:r>
    </w:p>
    <w:p w14:paraId="2F13CDB4" w14:textId="2596669E" w:rsidR="00E3611E" w:rsidRPr="00BD050D" w:rsidRDefault="00045209" w:rsidP="00071DAE">
      <w:pPr>
        <w:pStyle w:val="ListParagraph"/>
        <w:widowControl w:val="0"/>
        <w:numPr>
          <w:ilvl w:val="1"/>
          <w:numId w:val="7"/>
        </w:numPr>
        <w:spacing w:before="0"/>
        <w:rPr>
          <w:rFonts w:cstheme="minorHAnsi"/>
          <w:sz w:val="24"/>
          <w:szCs w:val="24"/>
        </w:rPr>
      </w:pPr>
      <w:r w:rsidRPr="00BD050D">
        <w:rPr>
          <w:rFonts w:cstheme="minorHAnsi"/>
          <w:sz w:val="24"/>
          <w:szCs w:val="24"/>
        </w:rPr>
        <w:t>Assessment of overall regulatory risks, substance data collection and management.</w:t>
      </w:r>
    </w:p>
    <w:p w14:paraId="3EB21C82" w14:textId="199C57D3" w:rsidR="0039657A" w:rsidRPr="00BD050D" w:rsidRDefault="00613853" w:rsidP="00071DAE">
      <w:pPr>
        <w:rPr>
          <w:rFonts w:cstheme="minorHAnsi"/>
          <w:b/>
          <w:bCs/>
          <w:sz w:val="24"/>
          <w:szCs w:val="24"/>
          <w:u w:val="single"/>
        </w:rPr>
      </w:pPr>
      <w:r w:rsidRPr="00BD050D">
        <w:rPr>
          <w:rFonts w:cstheme="minorHAnsi"/>
          <w:b/>
          <w:bCs/>
          <w:sz w:val="24"/>
          <w:szCs w:val="24"/>
          <w:u w:val="single"/>
        </w:rPr>
        <w:t>3.</w:t>
      </w:r>
      <w:r w:rsidR="007630C8" w:rsidRPr="00BD050D">
        <w:rPr>
          <w:rFonts w:cstheme="minorHAnsi"/>
          <w:b/>
          <w:bCs/>
          <w:sz w:val="24"/>
          <w:szCs w:val="24"/>
          <w:u w:val="single"/>
        </w:rPr>
        <w:t>1</w:t>
      </w:r>
      <w:r w:rsidRPr="00BD050D">
        <w:rPr>
          <w:rFonts w:cstheme="minorHAnsi"/>
          <w:b/>
          <w:bCs/>
          <w:sz w:val="24"/>
          <w:szCs w:val="24"/>
          <w:u w:val="single"/>
        </w:rPr>
        <w:t xml:space="preserve">   Business to Business Data Exchange</w:t>
      </w:r>
    </w:p>
    <w:p w14:paraId="24F2A434" w14:textId="632C89DF" w:rsidR="00071DAE" w:rsidRPr="00BD050D" w:rsidRDefault="00071DAE" w:rsidP="00071DAE">
      <w:pPr>
        <w:rPr>
          <w:rFonts w:cstheme="minorHAnsi"/>
          <w:sz w:val="24"/>
          <w:szCs w:val="24"/>
        </w:rPr>
      </w:pPr>
      <w:r w:rsidRPr="00BD050D">
        <w:rPr>
          <w:rFonts w:cstheme="minorHAnsi"/>
          <w:sz w:val="24"/>
          <w:szCs w:val="24"/>
        </w:rPr>
        <w:t xml:space="preserve">Obtaining accurate product-related materials and substances data largely depends on the ability to source data from as far upstream in the supply chain as possible.  At every supplier level where hardware/components (“articles”) are produced, added materials and substances may affect the composition of a final product at the lower (downstream) tiers of the supply chain.  Thus, the requirements for data may be “flowed” up through the supply chain and acquired data must flow down supply chain and be summarized at each lower level </w:t>
      </w:r>
      <w:proofErr w:type="gramStart"/>
      <w:r w:rsidRPr="00BD050D">
        <w:rPr>
          <w:rFonts w:cstheme="minorHAnsi"/>
          <w:sz w:val="24"/>
          <w:szCs w:val="24"/>
        </w:rPr>
        <w:t>in order to</w:t>
      </w:r>
      <w:proofErr w:type="gramEnd"/>
      <w:r w:rsidRPr="00BD050D">
        <w:rPr>
          <w:rFonts w:cstheme="minorHAnsi"/>
          <w:sz w:val="24"/>
          <w:szCs w:val="24"/>
        </w:rPr>
        <w:t xml:space="preserve"> provide an accurate representation of the composition of final products.  </w:t>
      </w:r>
    </w:p>
    <w:p w14:paraId="0B923237" w14:textId="77777777" w:rsidR="00071DAE" w:rsidRPr="00BD050D" w:rsidRDefault="00071DAE" w:rsidP="00071DAE">
      <w:pPr>
        <w:rPr>
          <w:rFonts w:cstheme="minorHAnsi"/>
          <w:sz w:val="24"/>
          <w:szCs w:val="24"/>
        </w:rPr>
      </w:pPr>
      <w:r w:rsidRPr="00BD050D">
        <w:rPr>
          <w:rFonts w:cstheme="minorHAnsi"/>
          <w:sz w:val="24"/>
          <w:szCs w:val="24"/>
        </w:rPr>
        <w:t xml:space="preserve">In a business-to-business relationship, the data gathering process usually starts by downstream companies imposing declaration requirements on their direct suppliers.  These suppliers may then impose similar requirements on their direct suppliers, and this approach may be repeated at each level in the supply chain.  Related data management requirements (e.g., initial reporting deadlines, timing of updates, certification of information, protection of sensitive data, etc.) may also be specified, wherever needed.  </w:t>
      </w:r>
    </w:p>
    <w:p w14:paraId="4B3A1C15" w14:textId="77777777" w:rsidR="00071DAE" w:rsidRPr="00BD050D" w:rsidRDefault="00071DAE" w:rsidP="00071DAE">
      <w:pPr>
        <w:spacing w:before="0" w:line="360" w:lineRule="auto"/>
        <w:rPr>
          <w:rFonts w:cstheme="minorHAnsi"/>
          <w:b/>
          <w:sz w:val="24"/>
          <w:szCs w:val="24"/>
        </w:rPr>
      </w:pPr>
    </w:p>
    <w:p w14:paraId="2D02D606" w14:textId="00EB0A4D" w:rsidR="00071DAE" w:rsidRPr="00BD050D" w:rsidRDefault="00613853" w:rsidP="00071DAE">
      <w:pPr>
        <w:spacing w:before="0" w:line="360" w:lineRule="auto"/>
        <w:rPr>
          <w:rFonts w:cstheme="minorHAnsi"/>
          <w:b/>
          <w:sz w:val="24"/>
          <w:szCs w:val="24"/>
        </w:rPr>
      </w:pPr>
      <w:r w:rsidRPr="00BD050D">
        <w:rPr>
          <w:rFonts w:cstheme="minorHAnsi"/>
          <w:b/>
          <w:sz w:val="24"/>
          <w:szCs w:val="24"/>
        </w:rPr>
        <w:t>3.</w:t>
      </w:r>
      <w:r w:rsidR="007630C8" w:rsidRPr="00BD050D">
        <w:rPr>
          <w:rFonts w:cstheme="minorHAnsi"/>
          <w:b/>
          <w:sz w:val="24"/>
          <w:szCs w:val="24"/>
        </w:rPr>
        <w:t>2</w:t>
      </w:r>
      <w:r w:rsidRPr="00BD050D">
        <w:rPr>
          <w:rFonts w:cstheme="minorHAnsi"/>
          <w:b/>
          <w:sz w:val="24"/>
          <w:szCs w:val="24"/>
        </w:rPr>
        <w:t xml:space="preserve">   </w:t>
      </w:r>
      <w:r w:rsidR="0039657A" w:rsidRPr="00BD050D">
        <w:rPr>
          <w:rFonts w:cstheme="minorHAnsi"/>
          <w:b/>
          <w:sz w:val="24"/>
          <w:szCs w:val="24"/>
        </w:rPr>
        <w:t>C</w:t>
      </w:r>
      <w:r w:rsidR="007D6B2D" w:rsidRPr="00BD050D">
        <w:rPr>
          <w:rFonts w:cstheme="minorHAnsi"/>
          <w:b/>
          <w:sz w:val="24"/>
          <w:szCs w:val="24"/>
        </w:rPr>
        <w:t xml:space="preserve">onfidential </w:t>
      </w:r>
      <w:r w:rsidR="0039657A" w:rsidRPr="00BD050D">
        <w:rPr>
          <w:rFonts w:cstheme="minorHAnsi"/>
          <w:b/>
          <w:sz w:val="24"/>
          <w:szCs w:val="24"/>
        </w:rPr>
        <w:t>B</w:t>
      </w:r>
      <w:r w:rsidR="007D6B2D" w:rsidRPr="00BD050D">
        <w:rPr>
          <w:rFonts w:cstheme="minorHAnsi"/>
          <w:b/>
          <w:sz w:val="24"/>
          <w:szCs w:val="24"/>
        </w:rPr>
        <w:t xml:space="preserve">usiness </w:t>
      </w:r>
      <w:r w:rsidR="0039657A" w:rsidRPr="00BD050D">
        <w:rPr>
          <w:rFonts w:cstheme="minorHAnsi"/>
          <w:b/>
          <w:sz w:val="24"/>
          <w:szCs w:val="24"/>
        </w:rPr>
        <w:t>Information</w:t>
      </w:r>
    </w:p>
    <w:p w14:paraId="4E5AC5B2" w14:textId="4C5C672D" w:rsidR="00B33356" w:rsidRPr="00BD050D" w:rsidRDefault="00B33356" w:rsidP="00443D98">
      <w:pPr>
        <w:spacing w:before="0"/>
        <w:rPr>
          <w:rFonts w:eastAsia="Roboto" w:cstheme="minorHAnsi"/>
          <w:sz w:val="24"/>
          <w:szCs w:val="24"/>
        </w:rPr>
      </w:pPr>
      <w:r w:rsidRPr="00BD050D">
        <w:rPr>
          <w:rFonts w:eastAsia="Roboto" w:cstheme="minorHAnsi"/>
          <w:sz w:val="24"/>
          <w:szCs w:val="24"/>
        </w:rPr>
        <w:t>The exchange of an IPC-1754 data set</w:t>
      </w:r>
      <w:r w:rsidR="0077532F" w:rsidRPr="00BD050D">
        <w:rPr>
          <w:rFonts w:eastAsia="Roboto" w:cstheme="minorHAnsi"/>
          <w:sz w:val="24"/>
          <w:szCs w:val="24"/>
        </w:rPr>
        <w:t xml:space="preserve"> </w:t>
      </w:r>
      <w:r w:rsidRPr="00BD050D">
        <w:rPr>
          <w:rFonts w:eastAsia="Roboto" w:cstheme="minorHAnsi"/>
          <w:sz w:val="24"/>
          <w:szCs w:val="24"/>
        </w:rPr>
        <w:t>may result in a conflict between contractual, intellectual property, and national security requirements.</w:t>
      </w:r>
    </w:p>
    <w:p w14:paraId="4E9B10D3" w14:textId="77777777" w:rsidR="0077532F" w:rsidRPr="00BD050D" w:rsidRDefault="0077532F" w:rsidP="0077532F">
      <w:pPr>
        <w:rPr>
          <w:rFonts w:cstheme="minorHAnsi"/>
          <w:sz w:val="24"/>
          <w:szCs w:val="24"/>
        </w:rPr>
      </w:pPr>
      <w:r w:rsidRPr="00BD050D">
        <w:rPr>
          <w:rFonts w:cstheme="minorHAnsi"/>
          <w:sz w:val="24"/>
          <w:szCs w:val="24"/>
        </w:rPr>
        <w:t>In general, global substance regulations may require disclosure of substance information despite concerns with confidential business information by organizations.</w:t>
      </w:r>
    </w:p>
    <w:p w14:paraId="2DE15575" w14:textId="77777777" w:rsidR="0077532F" w:rsidRPr="00BD050D" w:rsidRDefault="0077532F" w:rsidP="0077532F">
      <w:pPr>
        <w:rPr>
          <w:rFonts w:cstheme="minorHAnsi"/>
          <w:sz w:val="24"/>
          <w:szCs w:val="24"/>
        </w:rPr>
      </w:pPr>
      <w:r w:rsidRPr="00BD050D">
        <w:rPr>
          <w:rFonts w:cstheme="minorHAnsi"/>
          <w:sz w:val="24"/>
          <w:szCs w:val="24"/>
        </w:rPr>
        <w:t>Examples of CBI:</w:t>
      </w:r>
    </w:p>
    <w:p w14:paraId="38982513" w14:textId="77777777" w:rsidR="0077532F" w:rsidRPr="00BD050D" w:rsidRDefault="0077532F" w:rsidP="0077532F">
      <w:pPr>
        <w:ind w:firstLine="720"/>
        <w:rPr>
          <w:rFonts w:cstheme="minorHAnsi"/>
          <w:sz w:val="24"/>
          <w:szCs w:val="24"/>
        </w:rPr>
      </w:pPr>
      <w:r w:rsidRPr="00BD050D">
        <w:rPr>
          <w:rFonts w:cstheme="minorHAnsi"/>
          <w:sz w:val="24"/>
          <w:szCs w:val="24"/>
        </w:rPr>
        <w:t>Technical product information</w:t>
      </w:r>
    </w:p>
    <w:p w14:paraId="3FD30CE3" w14:textId="77777777" w:rsidR="0077532F" w:rsidRPr="00BD050D" w:rsidRDefault="0077532F" w:rsidP="0077532F">
      <w:pPr>
        <w:ind w:firstLine="720"/>
        <w:rPr>
          <w:rFonts w:cstheme="minorHAnsi"/>
          <w:sz w:val="24"/>
          <w:szCs w:val="24"/>
        </w:rPr>
      </w:pPr>
      <w:r w:rsidRPr="00BD050D">
        <w:rPr>
          <w:rFonts w:cstheme="minorHAnsi"/>
          <w:sz w:val="24"/>
          <w:szCs w:val="24"/>
        </w:rPr>
        <w:t xml:space="preserve">Supply chain / Supplier information  </w:t>
      </w:r>
    </w:p>
    <w:p w14:paraId="1EA24924" w14:textId="77777777" w:rsidR="0077532F" w:rsidRPr="00BD050D" w:rsidRDefault="0077532F" w:rsidP="0077532F">
      <w:pPr>
        <w:ind w:firstLine="720"/>
        <w:rPr>
          <w:rFonts w:cstheme="minorHAnsi"/>
          <w:sz w:val="24"/>
          <w:szCs w:val="24"/>
        </w:rPr>
      </w:pPr>
      <w:r w:rsidRPr="00BD050D">
        <w:rPr>
          <w:rFonts w:cstheme="minorHAnsi"/>
          <w:sz w:val="24"/>
          <w:szCs w:val="24"/>
        </w:rPr>
        <w:t>Trade Names</w:t>
      </w:r>
    </w:p>
    <w:p w14:paraId="52DCBA67" w14:textId="77777777" w:rsidR="0077532F" w:rsidRPr="00BD050D" w:rsidRDefault="0077532F" w:rsidP="0077532F">
      <w:pPr>
        <w:ind w:firstLine="720"/>
        <w:rPr>
          <w:rFonts w:cstheme="minorHAnsi"/>
          <w:sz w:val="24"/>
          <w:szCs w:val="24"/>
        </w:rPr>
      </w:pPr>
      <w:r w:rsidRPr="00BD050D">
        <w:rPr>
          <w:rFonts w:cstheme="minorHAnsi"/>
          <w:sz w:val="24"/>
          <w:szCs w:val="24"/>
        </w:rPr>
        <w:t>Contractual Data Sharing Restrictions</w:t>
      </w:r>
    </w:p>
    <w:p w14:paraId="78E7D077" w14:textId="77777777" w:rsidR="0077532F" w:rsidRPr="00BD050D" w:rsidRDefault="0077532F" w:rsidP="0077532F">
      <w:pPr>
        <w:rPr>
          <w:rFonts w:cstheme="minorHAnsi"/>
          <w:sz w:val="24"/>
          <w:szCs w:val="24"/>
        </w:rPr>
      </w:pPr>
      <w:r w:rsidRPr="00BD050D">
        <w:rPr>
          <w:rFonts w:cstheme="minorHAnsi"/>
          <w:sz w:val="24"/>
          <w:szCs w:val="24"/>
        </w:rPr>
        <w:tab/>
        <w:t xml:space="preserve">Export Regulations </w:t>
      </w:r>
    </w:p>
    <w:p w14:paraId="0B5F2B36" w14:textId="516AB04E" w:rsidR="00B33356" w:rsidRPr="00BD050D" w:rsidRDefault="00B33356" w:rsidP="00B33356">
      <w:pPr>
        <w:rPr>
          <w:rFonts w:eastAsia="Roboto" w:cstheme="minorHAnsi"/>
          <w:sz w:val="24"/>
          <w:szCs w:val="24"/>
        </w:rPr>
      </w:pPr>
      <w:r w:rsidRPr="00BD050D">
        <w:rPr>
          <w:rFonts w:eastAsia="Roboto" w:cstheme="minorHAnsi"/>
          <w:sz w:val="24"/>
          <w:szCs w:val="24"/>
        </w:rPr>
        <w:t xml:space="preserve">It is up to each actor in the supply chain to understand their data governance requirements which are mandated by contract, law, or policy.  The </w:t>
      </w:r>
      <w:proofErr w:type="gramStart"/>
      <w:r w:rsidRPr="00BD050D">
        <w:rPr>
          <w:rFonts w:eastAsia="Roboto" w:cstheme="minorHAnsi"/>
          <w:sz w:val="24"/>
          <w:szCs w:val="24"/>
        </w:rPr>
        <w:t>aforementioned data</w:t>
      </w:r>
      <w:proofErr w:type="gramEnd"/>
      <w:r w:rsidRPr="00BD050D">
        <w:rPr>
          <w:rFonts w:eastAsia="Roboto" w:cstheme="minorHAnsi"/>
          <w:sz w:val="24"/>
          <w:szCs w:val="24"/>
        </w:rPr>
        <w:t xml:space="preserve"> governance requirements should always supersede any requirements set forth by the IPC-1754 standard.  </w:t>
      </w:r>
    </w:p>
    <w:p w14:paraId="31035810" w14:textId="77777777" w:rsidR="008A5231" w:rsidRPr="00BD050D" w:rsidRDefault="008A5231" w:rsidP="008A5231">
      <w:pPr>
        <w:rPr>
          <w:rFonts w:eastAsia="Roboto" w:cstheme="minorHAnsi"/>
          <w:sz w:val="24"/>
          <w:szCs w:val="24"/>
        </w:rPr>
      </w:pPr>
      <w:r w:rsidRPr="00BD050D">
        <w:rPr>
          <w:rFonts w:eastAsia="Roboto" w:cstheme="minorHAnsi"/>
          <w:sz w:val="24"/>
          <w:szCs w:val="24"/>
        </w:rPr>
        <w:t xml:space="preserve">The following are non-exhaustive examples of when a data governance issue could arise during the communication of data: </w:t>
      </w:r>
    </w:p>
    <w:p w14:paraId="68563D45" w14:textId="77777777" w:rsidR="008A5231" w:rsidRPr="00BD050D" w:rsidRDefault="008A5231" w:rsidP="008A5231">
      <w:pPr>
        <w:rPr>
          <w:rFonts w:eastAsia="Roboto" w:cstheme="minorHAnsi"/>
          <w:sz w:val="24"/>
          <w:szCs w:val="24"/>
          <w:u w:val="single"/>
        </w:rPr>
      </w:pPr>
      <w:r w:rsidRPr="00BD050D">
        <w:rPr>
          <w:rFonts w:eastAsia="Roboto" w:cstheme="minorHAnsi"/>
          <w:sz w:val="24"/>
          <w:szCs w:val="24"/>
          <w:u w:val="single"/>
        </w:rPr>
        <w:t>Export Controls</w:t>
      </w:r>
    </w:p>
    <w:p w14:paraId="4F797524" w14:textId="0BFB24CF" w:rsidR="008A5231" w:rsidRPr="00BD050D" w:rsidRDefault="008A5231" w:rsidP="008A5231">
      <w:pPr>
        <w:ind w:left="270"/>
        <w:rPr>
          <w:rFonts w:eastAsia="Roboto" w:cstheme="minorHAnsi"/>
          <w:sz w:val="24"/>
          <w:szCs w:val="24"/>
        </w:rPr>
      </w:pPr>
      <w:r w:rsidRPr="00BD050D">
        <w:rPr>
          <w:rFonts w:eastAsia="Roboto" w:cstheme="minorHAnsi"/>
          <w:sz w:val="24"/>
          <w:szCs w:val="24"/>
        </w:rPr>
        <w:t xml:space="preserve">A supplier has been asked by its customer to provide an IPC-1754 declaration for a product within an indented Bill of Materials (BOM) structure. The customer has also asked for supplier part numbers to be presented within each product and subproduct.  </w:t>
      </w:r>
    </w:p>
    <w:p w14:paraId="018FCBFC" w14:textId="52097554" w:rsidR="008A5231" w:rsidRPr="00BD050D" w:rsidRDefault="008A5231" w:rsidP="008A5231">
      <w:pPr>
        <w:ind w:left="270"/>
        <w:rPr>
          <w:rFonts w:eastAsia="Roboto" w:cstheme="minorHAnsi"/>
          <w:sz w:val="24"/>
          <w:szCs w:val="24"/>
        </w:rPr>
      </w:pPr>
      <w:r w:rsidRPr="00BD050D">
        <w:rPr>
          <w:rFonts w:eastAsia="Roboto" w:cstheme="minorHAnsi"/>
          <w:sz w:val="24"/>
          <w:szCs w:val="24"/>
        </w:rPr>
        <w:t>The product is an International Traffic in Arms Regulation (ITAR) and/or Export Administration Regulations (EAR) controlled good.  The customer requesting the data may not be allowed to receive data in this format due to nationality and/or inadequate licenses.  The supplier must ensure their data communication is within an ITAR controlled environment and may discuss options with their customer or other third parties which allow for meeting the data request expectations while following ITAR/EAR requirements.</w:t>
      </w:r>
    </w:p>
    <w:p w14:paraId="4FE6EDAF" w14:textId="69392811" w:rsidR="00EA7F48" w:rsidRPr="00BD050D" w:rsidRDefault="00EA7F48" w:rsidP="008A5231">
      <w:pPr>
        <w:ind w:left="270"/>
        <w:rPr>
          <w:rFonts w:eastAsia="Roboto" w:cstheme="minorHAnsi"/>
          <w:sz w:val="24"/>
          <w:szCs w:val="24"/>
        </w:rPr>
      </w:pPr>
    </w:p>
    <w:p w14:paraId="50C2F7AE" w14:textId="77777777" w:rsidR="00EA7F48" w:rsidRPr="00BD050D" w:rsidRDefault="00EA7F48" w:rsidP="008A5231">
      <w:pPr>
        <w:ind w:left="270"/>
        <w:rPr>
          <w:rFonts w:eastAsia="Roboto" w:cstheme="minorHAnsi"/>
          <w:sz w:val="24"/>
          <w:szCs w:val="24"/>
        </w:rPr>
      </w:pPr>
    </w:p>
    <w:p w14:paraId="0491373A" w14:textId="77777777" w:rsidR="008A5231" w:rsidRPr="00BD050D" w:rsidRDefault="008A5231" w:rsidP="008A5231">
      <w:pPr>
        <w:spacing w:line="360" w:lineRule="auto"/>
        <w:rPr>
          <w:rFonts w:cstheme="minorHAnsi"/>
          <w:sz w:val="24"/>
          <w:szCs w:val="24"/>
          <w:u w:val="single"/>
        </w:rPr>
      </w:pPr>
      <w:r w:rsidRPr="00BD050D">
        <w:rPr>
          <w:rFonts w:cstheme="minorHAnsi"/>
          <w:sz w:val="24"/>
          <w:szCs w:val="24"/>
          <w:u w:val="single"/>
        </w:rPr>
        <w:t>Confidential Business Information</w:t>
      </w:r>
    </w:p>
    <w:p w14:paraId="520053C8" w14:textId="77777777" w:rsidR="008A5231" w:rsidRPr="00BD050D" w:rsidRDefault="008A5231" w:rsidP="008A5231">
      <w:pPr>
        <w:pStyle w:val="ReportBodyText"/>
        <w:spacing w:before="0" w:after="60"/>
        <w:ind w:left="27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 xml:space="preserve">If the product being provided by the supplier includes substances or special alloys that the supplier considers proprietary, the supplier may wish to have these treated as confidential business information (CBI) and to hide the identity of these substances and materials in the declaration.  There are provisions in the IPC-1754 for suppliers to mask substance name and identity information under certain circumstances as described below. </w:t>
      </w:r>
    </w:p>
    <w:p w14:paraId="719B0F54" w14:textId="77777777" w:rsidR="008A5231" w:rsidRPr="00BD050D" w:rsidRDefault="008A5231" w:rsidP="008A5231">
      <w:pPr>
        <w:pStyle w:val="ReportBodyText"/>
        <w:spacing w:before="0" w:after="60"/>
        <w:ind w:left="27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 xml:space="preserve">If the substance that the supplier wishes to remain anonymous is not on the declarable substance list (DSL), the supplier may wish to declare the substance using a generic name to hide its identity.  Commonly used phrases to replace the substance name are “Trade Secret”; “Proprietary” or “Confidential”. However, the identity of the substance may only be hidden if it is not listed on the DSL. </w:t>
      </w:r>
    </w:p>
    <w:p w14:paraId="04FA8784" w14:textId="2BE39C0F" w:rsidR="003319B7" w:rsidRPr="00BD050D" w:rsidRDefault="008A5231" w:rsidP="00443D98">
      <w:pPr>
        <w:pStyle w:val="ReportBodyText"/>
        <w:spacing w:before="0" w:after="60"/>
        <w:ind w:left="27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 xml:space="preserve">IPC-1754 requires that all DSL substances that are present in the product above threshold must be declared.  This is because DSL substances typically have regulatory impacts that the requester needs to know about.  For such substances, the supplier may wish to arrange a confidentiality agreement with the requester or another measure to ensure that CBI is appropriately protected. </w:t>
      </w:r>
    </w:p>
    <w:p w14:paraId="2E2E07F9" w14:textId="664274EB" w:rsidR="007D6B2D" w:rsidRPr="00BD050D" w:rsidRDefault="00B33356" w:rsidP="007D6B2D">
      <w:pPr>
        <w:rPr>
          <w:rFonts w:cstheme="minorHAnsi"/>
          <w:sz w:val="24"/>
          <w:szCs w:val="24"/>
        </w:rPr>
      </w:pPr>
      <w:r w:rsidRPr="00BD050D">
        <w:rPr>
          <w:rFonts w:eastAsia="Roboto" w:cstheme="minorHAnsi"/>
          <w:sz w:val="24"/>
          <w:szCs w:val="24"/>
        </w:rPr>
        <w:t>If the requirements of the IPC-1754 standard</w:t>
      </w:r>
      <w:r w:rsidR="0077532F" w:rsidRPr="00BD050D">
        <w:rPr>
          <w:rFonts w:eastAsia="Roboto" w:cstheme="minorHAnsi"/>
          <w:sz w:val="24"/>
          <w:szCs w:val="24"/>
        </w:rPr>
        <w:t xml:space="preserve"> </w:t>
      </w:r>
      <w:r w:rsidRPr="00BD050D">
        <w:rPr>
          <w:rFonts w:eastAsia="Roboto" w:cstheme="minorHAnsi"/>
          <w:sz w:val="24"/>
          <w:szCs w:val="24"/>
        </w:rPr>
        <w:t>result in a conflict with a data governance requirement, it is recommended to engage your business partners (customers, solution providers, internal stakeholders, and other relevant parties) to determine an appropriate resolution for data communication needs.</w:t>
      </w:r>
      <w:r w:rsidR="007D6B2D" w:rsidRPr="00BD050D">
        <w:rPr>
          <w:rFonts w:eastAsia="Roboto" w:cstheme="minorHAnsi"/>
          <w:sz w:val="24"/>
          <w:szCs w:val="24"/>
        </w:rPr>
        <w:t xml:space="preserve"> </w:t>
      </w:r>
      <w:r w:rsidR="007D6B2D" w:rsidRPr="00BD050D">
        <w:rPr>
          <w:rFonts w:cstheme="minorHAnsi"/>
          <w:sz w:val="24"/>
          <w:szCs w:val="24"/>
        </w:rPr>
        <w:t xml:space="preserve">Military export regulations often introduce considerations relevant to substance declaration regulations. </w:t>
      </w:r>
    </w:p>
    <w:p w14:paraId="430EAD0F" w14:textId="664EC5E8" w:rsidR="00C418E6" w:rsidRPr="00BD050D" w:rsidRDefault="00C418E6" w:rsidP="00C418E6">
      <w:pPr>
        <w:rPr>
          <w:rFonts w:cstheme="minorHAnsi"/>
          <w:bCs/>
          <w:sz w:val="24"/>
          <w:szCs w:val="24"/>
        </w:rPr>
      </w:pPr>
      <w:r w:rsidRPr="00BD050D">
        <w:rPr>
          <w:rFonts w:cstheme="minorHAnsi"/>
          <w:bCs/>
          <w:sz w:val="24"/>
          <w:szCs w:val="24"/>
        </w:rPr>
        <w:t xml:space="preserve">Depending on the regulation or contract requirement, when an organization is gathering materials and substance data, a common factor that one faces is the lack of availability or specificity of the data.  Some regulators and several industries have recognized this problem and have published guidelines to get the supply chain started.  </w:t>
      </w:r>
    </w:p>
    <w:p w14:paraId="770B3004" w14:textId="77777777" w:rsidR="00045209" w:rsidRPr="00BD050D" w:rsidRDefault="00045209" w:rsidP="00C418E6">
      <w:pPr>
        <w:rPr>
          <w:rFonts w:cstheme="minorHAnsi"/>
          <w:bCs/>
          <w:sz w:val="24"/>
          <w:szCs w:val="24"/>
        </w:rPr>
      </w:pPr>
    </w:p>
    <w:p w14:paraId="2FF65198" w14:textId="22F40558" w:rsidR="00BC52C2" w:rsidRPr="00BD050D" w:rsidRDefault="00E05B18" w:rsidP="00BC52C2">
      <w:pPr>
        <w:pStyle w:val="Default"/>
        <w:rPr>
          <w:rFonts w:asciiTheme="minorHAnsi" w:hAnsiTheme="minorHAnsi" w:cstheme="minorHAnsi"/>
          <w:b/>
          <w:bCs/>
          <w:color w:val="auto"/>
          <w:u w:val="single"/>
          <w:lang w:val="en-US"/>
        </w:rPr>
      </w:pPr>
      <w:r w:rsidRPr="00BD050D">
        <w:rPr>
          <w:rFonts w:asciiTheme="minorHAnsi" w:hAnsiTheme="minorHAnsi" w:cstheme="minorHAnsi"/>
          <w:b/>
          <w:bCs/>
          <w:color w:val="auto"/>
          <w:u w:val="single"/>
          <w:lang w:val="en-US"/>
        </w:rPr>
        <w:t xml:space="preserve">4.0   </w:t>
      </w:r>
      <w:r w:rsidR="007D5EB4" w:rsidRPr="00BD050D">
        <w:rPr>
          <w:rFonts w:asciiTheme="minorHAnsi" w:hAnsiTheme="minorHAnsi" w:cstheme="minorHAnsi"/>
          <w:b/>
          <w:bCs/>
          <w:color w:val="auto"/>
          <w:u w:val="single"/>
          <w:lang w:val="en-US"/>
        </w:rPr>
        <w:t>M</w:t>
      </w:r>
      <w:r w:rsidR="00BC52C2" w:rsidRPr="00BD050D">
        <w:rPr>
          <w:rFonts w:asciiTheme="minorHAnsi" w:hAnsiTheme="minorHAnsi" w:cstheme="minorHAnsi"/>
          <w:b/>
          <w:bCs/>
          <w:color w:val="auto"/>
          <w:u w:val="single"/>
          <w:lang w:val="en-US"/>
        </w:rPr>
        <w:t xml:space="preserve">aterials and </w:t>
      </w:r>
      <w:r w:rsidR="007D5EB4" w:rsidRPr="00BD050D">
        <w:rPr>
          <w:rFonts w:asciiTheme="minorHAnsi" w:hAnsiTheme="minorHAnsi" w:cstheme="minorHAnsi"/>
          <w:b/>
          <w:bCs/>
          <w:color w:val="auto"/>
          <w:u w:val="single"/>
          <w:lang w:val="en-US"/>
        </w:rPr>
        <w:t>S</w:t>
      </w:r>
      <w:r w:rsidR="00BC52C2" w:rsidRPr="00BD050D">
        <w:rPr>
          <w:rFonts w:asciiTheme="minorHAnsi" w:hAnsiTheme="minorHAnsi" w:cstheme="minorHAnsi"/>
          <w:b/>
          <w:bCs/>
          <w:color w:val="auto"/>
          <w:u w:val="single"/>
          <w:lang w:val="en-US"/>
        </w:rPr>
        <w:t xml:space="preserve">ubstance </w:t>
      </w:r>
      <w:r w:rsidR="007D5EB4" w:rsidRPr="00BD050D">
        <w:rPr>
          <w:rFonts w:asciiTheme="minorHAnsi" w:hAnsiTheme="minorHAnsi" w:cstheme="minorHAnsi"/>
          <w:b/>
          <w:bCs/>
          <w:color w:val="auto"/>
          <w:u w:val="single"/>
          <w:lang w:val="en-US"/>
        </w:rPr>
        <w:t>D</w:t>
      </w:r>
      <w:r w:rsidR="00BC52C2" w:rsidRPr="00BD050D">
        <w:rPr>
          <w:rFonts w:asciiTheme="minorHAnsi" w:hAnsiTheme="minorHAnsi" w:cstheme="minorHAnsi"/>
          <w:b/>
          <w:bCs/>
          <w:color w:val="auto"/>
          <w:u w:val="single"/>
          <w:lang w:val="en-US"/>
        </w:rPr>
        <w:t>ata</w:t>
      </w:r>
    </w:p>
    <w:p w14:paraId="17A50153" w14:textId="153BD0E1" w:rsidR="00F95D18" w:rsidRPr="00BD050D" w:rsidRDefault="00613853" w:rsidP="00F95D18">
      <w:pPr>
        <w:rPr>
          <w:rFonts w:cstheme="minorHAnsi"/>
          <w:b/>
          <w:sz w:val="24"/>
          <w:szCs w:val="24"/>
        </w:rPr>
      </w:pPr>
      <w:r w:rsidRPr="00BD050D">
        <w:rPr>
          <w:rFonts w:cstheme="minorHAnsi"/>
          <w:b/>
          <w:sz w:val="24"/>
          <w:szCs w:val="24"/>
        </w:rPr>
        <w:t>4</w:t>
      </w:r>
      <w:r w:rsidR="00FA6CC8" w:rsidRPr="00BD050D">
        <w:rPr>
          <w:rFonts w:cstheme="minorHAnsi"/>
          <w:b/>
          <w:sz w:val="24"/>
          <w:szCs w:val="24"/>
        </w:rPr>
        <w:t xml:space="preserve">.1 </w:t>
      </w:r>
      <w:r w:rsidR="00F95D18" w:rsidRPr="00BD050D">
        <w:rPr>
          <w:rFonts w:cstheme="minorHAnsi"/>
          <w:b/>
          <w:sz w:val="24"/>
          <w:szCs w:val="24"/>
        </w:rPr>
        <w:t>Internal Data</w:t>
      </w:r>
    </w:p>
    <w:p w14:paraId="3030941C" w14:textId="4FF3DBA6" w:rsidR="00ED1503" w:rsidRPr="00BD050D" w:rsidRDefault="00ED1503" w:rsidP="00F95D18">
      <w:pPr>
        <w:widowControl w:val="0"/>
        <w:rPr>
          <w:rFonts w:cstheme="minorHAnsi"/>
          <w:sz w:val="24"/>
          <w:szCs w:val="24"/>
        </w:rPr>
      </w:pPr>
      <w:r w:rsidRPr="00BD050D">
        <w:rPr>
          <w:rFonts w:cstheme="minorHAnsi"/>
          <w:sz w:val="24"/>
          <w:szCs w:val="24"/>
        </w:rPr>
        <w:t xml:space="preserve">If your company has a Product </w:t>
      </w:r>
      <w:r w:rsidR="00E610E6" w:rsidRPr="00BD050D">
        <w:rPr>
          <w:rFonts w:cstheme="minorHAnsi"/>
          <w:sz w:val="24"/>
          <w:szCs w:val="24"/>
        </w:rPr>
        <w:t xml:space="preserve">Stewardship and </w:t>
      </w:r>
      <w:r w:rsidRPr="00BD050D">
        <w:rPr>
          <w:rFonts w:cstheme="minorHAnsi"/>
          <w:sz w:val="24"/>
          <w:szCs w:val="24"/>
        </w:rPr>
        <w:t xml:space="preserve">Regulatory </w:t>
      </w:r>
      <w:r w:rsidR="0022557E" w:rsidRPr="00BD050D">
        <w:rPr>
          <w:rFonts w:cstheme="minorHAnsi"/>
          <w:sz w:val="24"/>
          <w:szCs w:val="24"/>
        </w:rPr>
        <w:t>C</w:t>
      </w:r>
      <w:r w:rsidRPr="00BD050D">
        <w:rPr>
          <w:rFonts w:cstheme="minorHAnsi"/>
          <w:sz w:val="24"/>
          <w:szCs w:val="24"/>
        </w:rPr>
        <w:t xml:space="preserve">ompliance department, contact them for help </w:t>
      </w:r>
      <w:r w:rsidR="0022557E" w:rsidRPr="00BD050D">
        <w:rPr>
          <w:rFonts w:cstheme="minorHAnsi"/>
          <w:sz w:val="24"/>
          <w:szCs w:val="24"/>
        </w:rPr>
        <w:t xml:space="preserve">assessing the possible presence of regulated substances being in your products. </w:t>
      </w:r>
      <w:r w:rsidRPr="00BD050D">
        <w:rPr>
          <w:rFonts w:cstheme="minorHAnsi"/>
          <w:sz w:val="24"/>
          <w:szCs w:val="24"/>
        </w:rPr>
        <w:t xml:space="preserve">  If you do not have an organization such as this, the data will come from a variety of areas within your company.   </w:t>
      </w:r>
    </w:p>
    <w:p w14:paraId="52AED089" w14:textId="4D0B83AB" w:rsidR="00ED1503" w:rsidRPr="00BD050D" w:rsidRDefault="00ED1503" w:rsidP="00F95D18">
      <w:pPr>
        <w:widowControl w:val="0"/>
        <w:rPr>
          <w:rFonts w:cstheme="minorHAnsi"/>
          <w:sz w:val="24"/>
          <w:szCs w:val="24"/>
        </w:rPr>
      </w:pPr>
      <w:r w:rsidRPr="00BD050D">
        <w:rPr>
          <w:rFonts w:cstheme="minorHAnsi"/>
          <w:sz w:val="24"/>
          <w:szCs w:val="24"/>
        </w:rPr>
        <w:t>What are the product considerations</w:t>
      </w:r>
      <w:r w:rsidR="00B83546" w:rsidRPr="00BD050D">
        <w:rPr>
          <w:rFonts w:cstheme="minorHAnsi"/>
          <w:sz w:val="24"/>
          <w:szCs w:val="24"/>
        </w:rPr>
        <w:t>?</w:t>
      </w:r>
      <w:r w:rsidRPr="00BD050D">
        <w:rPr>
          <w:rFonts w:cstheme="minorHAnsi"/>
          <w:sz w:val="24"/>
          <w:szCs w:val="24"/>
        </w:rPr>
        <w:t xml:space="preserve"> </w:t>
      </w:r>
      <w:r w:rsidR="00B83546" w:rsidRPr="00BD050D">
        <w:rPr>
          <w:rFonts w:cstheme="minorHAnsi"/>
          <w:sz w:val="24"/>
          <w:szCs w:val="24"/>
        </w:rPr>
        <w:t>O</w:t>
      </w:r>
      <w:r w:rsidR="00304DEB" w:rsidRPr="00BD050D">
        <w:rPr>
          <w:rFonts w:cstheme="minorHAnsi"/>
          <w:sz w:val="24"/>
          <w:szCs w:val="24"/>
        </w:rPr>
        <w:t>rganizations within a company that could have information on</w:t>
      </w:r>
      <w:r w:rsidR="002C2287" w:rsidRPr="00BD050D">
        <w:rPr>
          <w:rFonts w:cstheme="minorHAnsi"/>
          <w:sz w:val="24"/>
          <w:szCs w:val="24"/>
        </w:rPr>
        <w:t xml:space="preserve"> materials or substances </w:t>
      </w:r>
      <w:r w:rsidR="00B83546" w:rsidRPr="00BD050D">
        <w:rPr>
          <w:rFonts w:cstheme="minorHAnsi"/>
          <w:sz w:val="24"/>
          <w:szCs w:val="24"/>
        </w:rPr>
        <w:t>in your product</w:t>
      </w:r>
      <w:r w:rsidRPr="00BD050D">
        <w:rPr>
          <w:rFonts w:cstheme="minorHAnsi"/>
          <w:sz w:val="24"/>
          <w:szCs w:val="24"/>
        </w:rPr>
        <w:t xml:space="preserve"> as supplied to your customer</w:t>
      </w:r>
      <w:r w:rsidR="00B83546" w:rsidRPr="00BD050D">
        <w:rPr>
          <w:rFonts w:cstheme="minorHAnsi"/>
          <w:sz w:val="24"/>
          <w:szCs w:val="24"/>
        </w:rPr>
        <w:t xml:space="preserve"> include:</w:t>
      </w:r>
      <w:r w:rsidRPr="00BD050D">
        <w:rPr>
          <w:rFonts w:cstheme="minorHAnsi"/>
          <w:sz w:val="24"/>
          <w:szCs w:val="24"/>
        </w:rPr>
        <w:t xml:space="preserve"> </w:t>
      </w:r>
    </w:p>
    <w:p w14:paraId="1782F3DC" w14:textId="7554F722" w:rsidR="00ED1503" w:rsidRPr="00BD050D" w:rsidRDefault="00B83546" w:rsidP="00F95D18">
      <w:pPr>
        <w:widowControl w:val="0"/>
        <w:spacing w:before="0"/>
        <w:ind w:left="1080"/>
        <w:rPr>
          <w:rFonts w:cstheme="minorHAnsi"/>
          <w:sz w:val="24"/>
          <w:szCs w:val="24"/>
        </w:rPr>
      </w:pPr>
      <w:r w:rsidRPr="00BD050D">
        <w:rPr>
          <w:rFonts w:cstheme="minorHAnsi"/>
          <w:sz w:val="24"/>
          <w:szCs w:val="24"/>
        </w:rPr>
        <w:t>Product Engineering</w:t>
      </w:r>
    </w:p>
    <w:p w14:paraId="15D1FB78" w14:textId="77777777" w:rsidR="00ED1503" w:rsidRPr="00BD050D" w:rsidRDefault="00B83546" w:rsidP="00F95D18">
      <w:pPr>
        <w:widowControl w:val="0"/>
        <w:spacing w:before="0"/>
        <w:ind w:left="1080"/>
        <w:rPr>
          <w:rFonts w:cstheme="minorHAnsi"/>
          <w:sz w:val="24"/>
          <w:szCs w:val="24"/>
        </w:rPr>
      </w:pPr>
      <w:r w:rsidRPr="00BD050D">
        <w:rPr>
          <w:rFonts w:cstheme="minorHAnsi"/>
          <w:sz w:val="24"/>
          <w:szCs w:val="24"/>
        </w:rPr>
        <w:t>Materials Management</w:t>
      </w:r>
    </w:p>
    <w:p w14:paraId="33A8D514" w14:textId="71C79B60" w:rsidR="00ED1503" w:rsidRPr="00BD050D" w:rsidRDefault="00B83546" w:rsidP="00F95D18">
      <w:pPr>
        <w:widowControl w:val="0"/>
        <w:spacing w:before="0"/>
        <w:ind w:left="1080"/>
        <w:rPr>
          <w:rFonts w:cstheme="minorHAnsi"/>
          <w:sz w:val="24"/>
          <w:szCs w:val="24"/>
        </w:rPr>
      </w:pPr>
      <w:r w:rsidRPr="00BD050D">
        <w:rPr>
          <w:rFonts w:cstheme="minorHAnsi"/>
          <w:sz w:val="24"/>
          <w:szCs w:val="24"/>
        </w:rPr>
        <w:t>Product Manufacturing</w:t>
      </w:r>
    </w:p>
    <w:p w14:paraId="11A0AF62" w14:textId="0DF643D8" w:rsidR="0022557E" w:rsidRPr="00BD050D" w:rsidRDefault="0022557E" w:rsidP="00F95D18">
      <w:pPr>
        <w:widowControl w:val="0"/>
        <w:spacing w:before="0"/>
        <w:ind w:left="1080"/>
        <w:rPr>
          <w:rFonts w:cstheme="minorHAnsi"/>
          <w:sz w:val="24"/>
          <w:szCs w:val="24"/>
        </w:rPr>
      </w:pPr>
      <w:r w:rsidRPr="00BD050D">
        <w:rPr>
          <w:rFonts w:cstheme="minorHAnsi"/>
          <w:sz w:val="24"/>
          <w:szCs w:val="24"/>
        </w:rPr>
        <w:t>Quality</w:t>
      </w:r>
    </w:p>
    <w:p w14:paraId="6F0339BA" w14:textId="77777777" w:rsidR="00ED1503" w:rsidRPr="00BD050D" w:rsidRDefault="00B83546" w:rsidP="00F95D18">
      <w:pPr>
        <w:widowControl w:val="0"/>
        <w:spacing w:before="0"/>
        <w:ind w:left="1080"/>
        <w:rPr>
          <w:rFonts w:cstheme="minorHAnsi"/>
          <w:sz w:val="24"/>
          <w:szCs w:val="24"/>
        </w:rPr>
      </w:pPr>
      <w:r w:rsidRPr="00BD050D">
        <w:rPr>
          <w:rFonts w:cstheme="minorHAnsi"/>
          <w:sz w:val="24"/>
          <w:szCs w:val="24"/>
        </w:rPr>
        <w:t>Supplier Relationship Management</w:t>
      </w:r>
    </w:p>
    <w:p w14:paraId="69CA9020" w14:textId="3B2C014A" w:rsidR="00ED1503" w:rsidRPr="00BD050D" w:rsidRDefault="00DC23B0" w:rsidP="00F95D18">
      <w:pPr>
        <w:widowControl w:val="0"/>
        <w:spacing w:before="0"/>
        <w:ind w:left="1080"/>
        <w:rPr>
          <w:rFonts w:cstheme="minorHAnsi"/>
          <w:sz w:val="24"/>
          <w:szCs w:val="24"/>
        </w:rPr>
      </w:pPr>
      <w:r w:rsidRPr="00BD050D">
        <w:rPr>
          <w:rFonts w:cstheme="minorHAnsi"/>
          <w:sz w:val="24"/>
          <w:szCs w:val="24"/>
        </w:rPr>
        <w:t xml:space="preserve">Global </w:t>
      </w:r>
      <w:r w:rsidR="00B83546" w:rsidRPr="00BD050D">
        <w:rPr>
          <w:rFonts w:cstheme="minorHAnsi"/>
          <w:sz w:val="24"/>
          <w:szCs w:val="24"/>
        </w:rPr>
        <w:t>Purchasing</w:t>
      </w:r>
      <w:r w:rsidRPr="00BD050D">
        <w:rPr>
          <w:rFonts w:cstheme="minorHAnsi"/>
          <w:sz w:val="24"/>
          <w:szCs w:val="24"/>
        </w:rPr>
        <w:t xml:space="preserve"> </w:t>
      </w:r>
    </w:p>
    <w:p w14:paraId="1B0809B2" w14:textId="77777777" w:rsidR="00ED1503" w:rsidRPr="00BD050D" w:rsidRDefault="00B83546" w:rsidP="00F95D18">
      <w:pPr>
        <w:widowControl w:val="0"/>
        <w:spacing w:before="0"/>
        <w:ind w:left="1080"/>
        <w:rPr>
          <w:rFonts w:cstheme="minorHAnsi"/>
          <w:sz w:val="24"/>
          <w:szCs w:val="24"/>
        </w:rPr>
      </w:pPr>
      <w:r w:rsidRPr="00BD050D">
        <w:rPr>
          <w:rFonts w:cstheme="minorHAnsi"/>
          <w:sz w:val="24"/>
          <w:szCs w:val="24"/>
        </w:rPr>
        <w:t xml:space="preserve">Enterprise Resource Planning </w:t>
      </w:r>
    </w:p>
    <w:p w14:paraId="1E68C4FD" w14:textId="77777777" w:rsidR="00ED1503" w:rsidRPr="00BD050D" w:rsidRDefault="00B83546" w:rsidP="00F95D18">
      <w:pPr>
        <w:widowControl w:val="0"/>
        <w:spacing w:before="0"/>
        <w:ind w:left="1080"/>
        <w:rPr>
          <w:rFonts w:cstheme="minorHAnsi"/>
          <w:sz w:val="24"/>
          <w:szCs w:val="24"/>
        </w:rPr>
      </w:pPr>
      <w:r w:rsidRPr="00BD050D">
        <w:rPr>
          <w:rFonts w:cstheme="minorHAnsi"/>
          <w:sz w:val="24"/>
          <w:szCs w:val="24"/>
        </w:rPr>
        <w:t>Logistics</w:t>
      </w:r>
    </w:p>
    <w:p w14:paraId="3459D0CA" w14:textId="77777777" w:rsidR="00ED1503" w:rsidRPr="00BD050D" w:rsidRDefault="00B83546" w:rsidP="00F95D18">
      <w:pPr>
        <w:widowControl w:val="0"/>
        <w:spacing w:before="0"/>
        <w:ind w:left="1080"/>
        <w:rPr>
          <w:rFonts w:cstheme="minorHAnsi"/>
          <w:sz w:val="24"/>
          <w:szCs w:val="24"/>
        </w:rPr>
      </w:pPr>
      <w:r w:rsidRPr="00BD050D">
        <w:rPr>
          <w:rFonts w:cstheme="minorHAnsi"/>
          <w:sz w:val="24"/>
          <w:szCs w:val="24"/>
        </w:rPr>
        <w:t>Manufacturing Resource Planning</w:t>
      </w:r>
    </w:p>
    <w:p w14:paraId="74AB95AB" w14:textId="5060EA32" w:rsidR="00ED1503" w:rsidRPr="00BD050D" w:rsidRDefault="00B83546" w:rsidP="00F95D18">
      <w:pPr>
        <w:widowControl w:val="0"/>
        <w:spacing w:before="0"/>
        <w:ind w:left="1080"/>
        <w:rPr>
          <w:rFonts w:cstheme="minorHAnsi"/>
          <w:sz w:val="24"/>
          <w:szCs w:val="24"/>
        </w:rPr>
      </w:pPr>
      <w:r w:rsidRPr="00BD050D">
        <w:rPr>
          <w:rFonts w:cstheme="minorHAnsi"/>
          <w:sz w:val="24"/>
          <w:szCs w:val="24"/>
        </w:rPr>
        <w:t>Information Technology</w:t>
      </w:r>
    </w:p>
    <w:p w14:paraId="31056432" w14:textId="223A5824" w:rsidR="00DC23B0" w:rsidRPr="00BD050D" w:rsidRDefault="00DC23B0" w:rsidP="00F95D18">
      <w:pPr>
        <w:widowControl w:val="0"/>
        <w:spacing w:before="0"/>
        <w:ind w:left="1080"/>
        <w:rPr>
          <w:rFonts w:cstheme="minorHAnsi"/>
          <w:sz w:val="24"/>
          <w:szCs w:val="24"/>
        </w:rPr>
      </w:pPr>
      <w:r w:rsidRPr="00BD050D">
        <w:rPr>
          <w:rFonts w:cstheme="minorHAnsi"/>
          <w:sz w:val="24"/>
          <w:szCs w:val="24"/>
        </w:rPr>
        <w:t>Export Compliance</w:t>
      </w:r>
    </w:p>
    <w:p w14:paraId="335411E7" w14:textId="040C44C9" w:rsidR="00DC23B0" w:rsidRPr="00BD050D" w:rsidRDefault="00DC23B0" w:rsidP="00F95D18">
      <w:pPr>
        <w:widowControl w:val="0"/>
        <w:spacing w:before="0"/>
        <w:ind w:left="1080"/>
        <w:rPr>
          <w:rFonts w:cstheme="minorHAnsi"/>
          <w:sz w:val="24"/>
          <w:szCs w:val="24"/>
        </w:rPr>
      </w:pPr>
      <w:r w:rsidRPr="00BD050D">
        <w:rPr>
          <w:rFonts w:cstheme="minorHAnsi"/>
          <w:sz w:val="24"/>
          <w:szCs w:val="24"/>
        </w:rPr>
        <w:t>Sales</w:t>
      </w:r>
    </w:p>
    <w:p w14:paraId="75E51E48" w14:textId="77777777" w:rsidR="0022557E" w:rsidRPr="00BD050D" w:rsidRDefault="0022557E" w:rsidP="00F95D18">
      <w:pPr>
        <w:widowControl w:val="0"/>
        <w:spacing w:before="0"/>
        <w:ind w:left="1080"/>
        <w:rPr>
          <w:rFonts w:cstheme="minorHAnsi"/>
          <w:sz w:val="24"/>
          <w:szCs w:val="24"/>
        </w:rPr>
      </w:pPr>
    </w:p>
    <w:p w14:paraId="7599BB7A" w14:textId="77777777" w:rsidR="00F95D18" w:rsidRPr="00BD050D" w:rsidRDefault="00ED1503" w:rsidP="00F95D18">
      <w:pPr>
        <w:widowControl w:val="0"/>
        <w:rPr>
          <w:rFonts w:cstheme="minorHAnsi"/>
          <w:sz w:val="24"/>
          <w:szCs w:val="24"/>
        </w:rPr>
      </w:pPr>
      <w:r w:rsidRPr="00BD050D">
        <w:rPr>
          <w:rFonts w:cstheme="minorHAnsi"/>
          <w:sz w:val="24"/>
          <w:szCs w:val="24"/>
        </w:rPr>
        <w:t>What are the manuf</w:t>
      </w:r>
      <w:r w:rsidR="00304DEB" w:rsidRPr="00BD050D">
        <w:rPr>
          <w:rFonts w:cstheme="minorHAnsi"/>
          <w:sz w:val="24"/>
          <w:szCs w:val="24"/>
        </w:rPr>
        <w:t xml:space="preserve">acturing process considerations? </w:t>
      </w:r>
      <w:r w:rsidRPr="00BD050D">
        <w:rPr>
          <w:rFonts w:cstheme="minorHAnsi"/>
          <w:sz w:val="24"/>
          <w:szCs w:val="24"/>
        </w:rPr>
        <w:t xml:space="preserve"> </w:t>
      </w:r>
      <w:r w:rsidR="00F95D18" w:rsidRPr="00BD050D">
        <w:rPr>
          <w:rFonts w:cstheme="minorHAnsi"/>
          <w:sz w:val="24"/>
          <w:szCs w:val="24"/>
        </w:rPr>
        <w:t xml:space="preserve">Organizations within a company </w:t>
      </w:r>
      <w:r w:rsidR="00304DEB" w:rsidRPr="00BD050D">
        <w:rPr>
          <w:rFonts w:cstheme="minorHAnsi"/>
          <w:sz w:val="24"/>
          <w:szCs w:val="24"/>
        </w:rPr>
        <w:t>that could have information on</w:t>
      </w:r>
      <w:r w:rsidR="00F95D18" w:rsidRPr="00BD050D">
        <w:rPr>
          <w:rFonts w:cstheme="minorHAnsi"/>
          <w:sz w:val="24"/>
          <w:szCs w:val="24"/>
        </w:rPr>
        <w:t xml:space="preserve"> materials or substances </w:t>
      </w:r>
      <w:r w:rsidR="002C2287" w:rsidRPr="00BD050D">
        <w:rPr>
          <w:rFonts w:cstheme="minorHAnsi"/>
          <w:sz w:val="24"/>
          <w:szCs w:val="24"/>
        </w:rPr>
        <w:t xml:space="preserve">are </w:t>
      </w:r>
      <w:r w:rsidR="00F95D18" w:rsidRPr="00BD050D">
        <w:rPr>
          <w:rFonts w:cstheme="minorHAnsi"/>
          <w:sz w:val="24"/>
          <w:szCs w:val="24"/>
        </w:rPr>
        <w:t>used in your manufacturing processes include:</w:t>
      </w:r>
    </w:p>
    <w:p w14:paraId="25BA28FD" w14:textId="4629A8DD" w:rsidR="00ED1503" w:rsidRPr="00BD050D" w:rsidRDefault="00E610E6" w:rsidP="00F95D18">
      <w:pPr>
        <w:widowControl w:val="0"/>
        <w:spacing w:before="0"/>
        <w:ind w:left="1080"/>
        <w:rPr>
          <w:rFonts w:cstheme="minorHAnsi"/>
          <w:sz w:val="24"/>
          <w:szCs w:val="24"/>
        </w:rPr>
      </w:pPr>
      <w:r w:rsidRPr="00BD050D">
        <w:rPr>
          <w:rFonts w:cstheme="minorHAnsi"/>
          <w:sz w:val="24"/>
          <w:szCs w:val="24"/>
        </w:rPr>
        <w:t>EHS</w:t>
      </w:r>
    </w:p>
    <w:p w14:paraId="71C33A83" w14:textId="77777777" w:rsidR="00ED1503" w:rsidRPr="00BD050D" w:rsidRDefault="00F95D18" w:rsidP="00F95D18">
      <w:pPr>
        <w:widowControl w:val="0"/>
        <w:spacing w:before="0"/>
        <w:ind w:left="1080"/>
        <w:rPr>
          <w:rFonts w:cstheme="minorHAnsi"/>
          <w:sz w:val="24"/>
          <w:szCs w:val="24"/>
        </w:rPr>
      </w:pPr>
      <w:r w:rsidRPr="00BD050D">
        <w:rPr>
          <w:rFonts w:cstheme="minorHAnsi"/>
          <w:sz w:val="24"/>
          <w:szCs w:val="24"/>
        </w:rPr>
        <w:t>Purchasing</w:t>
      </w:r>
    </w:p>
    <w:p w14:paraId="69A8B42A" w14:textId="77777777" w:rsidR="00ED1503" w:rsidRPr="00BD050D" w:rsidRDefault="00F95D18" w:rsidP="00F95D18">
      <w:pPr>
        <w:widowControl w:val="0"/>
        <w:spacing w:before="0"/>
        <w:ind w:left="1080"/>
        <w:rPr>
          <w:rFonts w:cstheme="minorHAnsi"/>
          <w:sz w:val="24"/>
          <w:szCs w:val="24"/>
        </w:rPr>
      </w:pPr>
      <w:r w:rsidRPr="00BD050D">
        <w:rPr>
          <w:rFonts w:cstheme="minorHAnsi"/>
          <w:sz w:val="24"/>
          <w:szCs w:val="24"/>
        </w:rPr>
        <w:t>Maintenance</w:t>
      </w:r>
    </w:p>
    <w:p w14:paraId="0814A3C6" w14:textId="733D96DC" w:rsidR="00ED1503" w:rsidRPr="00BD050D" w:rsidRDefault="00F95D18" w:rsidP="00F95D18">
      <w:pPr>
        <w:widowControl w:val="0"/>
        <w:spacing w:before="0"/>
        <w:ind w:left="1080"/>
        <w:rPr>
          <w:rFonts w:cstheme="minorHAnsi"/>
          <w:sz w:val="24"/>
          <w:szCs w:val="24"/>
        </w:rPr>
      </w:pPr>
      <w:r w:rsidRPr="00BD050D">
        <w:rPr>
          <w:rFonts w:cstheme="minorHAnsi"/>
          <w:sz w:val="24"/>
          <w:szCs w:val="24"/>
        </w:rPr>
        <w:t xml:space="preserve">Process </w:t>
      </w:r>
      <w:r w:rsidR="0022557E" w:rsidRPr="00BD050D">
        <w:rPr>
          <w:rFonts w:cstheme="minorHAnsi"/>
          <w:sz w:val="24"/>
          <w:szCs w:val="24"/>
        </w:rPr>
        <w:t xml:space="preserve">/ Manufacturing </w:t>
      </w:r>
      <w:r w:rsidRPr="00BD050D">
        <w:rPr>
          <w:rFonts w:cstheme="minorHAnsi"/>
          <w:sz w:val="24"/>
          <w:szCs w:val="24"/>
        </w:rPr>
        <w:t>Engineering</w:t>
      </w:r>
    </w:p>
    <w:p w14:paraId="1ADBA7B7" w14:textId="77777777" w:rsidR="00ED1503" w:rsidRPr="00BD050D" w:rsidRDefault="00F95D18" w:rsidP="00F95D18">
      <w:pPr>
        <w:widowControl w:val="0"/>
        <w:spacing w:before="0"/>
        <w:ind w:left="1080"/>
        <w:rPr>
          <w:rFonts w:cstheme="minorHAnsi"/>
          <w:sz w:val="24"/>
          <w:szCs w:val="24"/>
        </w:rPr>
      </w:pPr>
      <w:r w:rsidRPr="00BD050D">
        <w:rPr>
          <w:rFonts w:cstheme="minorHAnsi"/>
          <w:sz w:val="24"/>
          <w:szCs w:val="24"/>
        </w:rPr>
        <w:t>Custodial or Janitorial Services</w:t>
      </w:r>
    </w:p>
    <w:p w14:paraId="7255BFFD" w14:textId="55E6AF09" w:rsidR="0022557E" w:rsidRPr="00BD050D" w:rsidRDefault="00F95D18" w:rsidP="00443D98">
      <w:pPr>
        <w:widowControl w:val="0"/>
        <w:spacing w:before="0"/>
        <w:ind w:left="1080"/>
        <w:rPr>
          <w:rFonts w:cstheme="minorHAnsi"/>
          <w:sz w:val="24"/>
          <w:szCs w:val="24"/>
        </w:rPr>
      </w:pPr>
      <w:r w:rsidRPr="00BD050D">
        <w:rPr>
          <w:rFonts w:cstheme="minorHAnsi"/>
          <w:sz w:val="24"/>
          <w:szCs w:val="24"/>
        </w:rPr>
        <w:t>Information Technology</w:t>
      </w:r>
    </w:p>
    <w:p w14:paraId="28EF2263" w14:textId="77777777" w:rsidR="004B0902" w:rsidRPr="00BD050D" w:rsidRDefault="00613853" w:rsidP="004B0902">
      <w:pPr>
        <w:rPr>
          <w:rFonts w:cstheme="minorHAnsi"/>
          <w:b/>
          <w:sz w:val="24"/>
          <w:szCs w:val="24"/>
        </w:rPr>
      </w:pPr>
      <w:r w:rsidRPr="00BD050D">
        <w:rPr>
          <w:rFonts w:cstheme="minorHAnsi"/>
          <w:b/>
          <w:sz w:val="24"/>
          <w:szCs w:val="24"/>
        </w:rPr>
        <w:t>4</w:t>
      </w:r>
      <w:r w:rsidR="00FA6CC8" w:rsidRPr="00BD050D">
        <w:rPr>
          <w:rFonts w:cstheme="minorHAnsi"/>
          <w:b/>
          <w:sz w:val="24"/>
          <w:szCs w:val="24"/>
        </w:rPr>
        <w:t xml:space="preserve">.2 </w:t>
      </w:r>
      <w:r w:rsidR="00F95D18" w:rsidRPr="00BD050D">
        <w:rPr>
          <w:rFonts w:cstheme="minorHAnsi"/>
          <w:b/>
          <w:sz w:val="24"/>
          <w:szCs w:val="24"/>
        </w:rPr>
        <w:t>Supplier Data</w:t>
      </w:r>
      <w:r w:rsidR="007F3EB1" w:rsidRPr="00BD050D">
        <w:rPr>
          <w:rFonts w:cstheme="minorHAnsi"/>
          <w:b/>
          <w:sz w:val="24"/>
          <w:szCs w:val="24"/>
        </w:rPr>
        <w:t xml:space="preserve">  </w:t>
      </w:r>
    </w:p>
    <w:p w14:paraId="5F63DFD5" w14:textId="342C7772" w:rsidR="004B0902" w:rsidRPr="00BD050D" w:rsidRDefault="004B0902" w:rsidP="004B0902">
      <w:pPr>
        <w:rPr>
          <w:rFonts w:cstheme="minorHAnsi"/>
          <w:b/>
          <w:sz w:val="24"/>
          <w:szCs w:val="24"/>
        </w:rPr>
      </w:pPr>
      <w:r w:rsidRPr="00BD050D">
        <w:rPr>
          <w:rFonts w:cstheme="minorHAnsi"/>
          <w:sz w:val="24"/>
          <w:szCs w:val="24"/>
        </w:rPr>
        <w:t xml:space="preserve">In general, if the choice of materials or substances used in a product or process is made by the supplier, the supplier is considered responsible for providing this information to the requester.   These material choices may involve supplier designs, process selection, industry standard items or commercial off-the-shelf (COTS) items.   </w:t>
      </w:r>
    </w:p>
    <w:p w14:paraId="09808C1F" w14:textId="3623CC83" w:rsidR="004B0902" w:rsidRPr="00BD050D" w:rsidRDefault="004B0902" w:rsidP="004B0902">
      <w:pPr>
        <w:rPr>
          <w:rFonts w:cstheme="minorHAnsi"/>
          <w:sz w:val="24"/>
          <w:szCs w:val="24"/>
        </w:rPr>
      </w:pPr>
      <w:r w:rsidRPr="00BD050D">
        <w:rPr>
          <w:rFonts w:cstheme="minorHAnsi"/>
          <w:sz w:val="24"/>
          <w:szCs w:val="24"/>
        </w:rPr>
        <w:t xml:space="preserve">In responding to a declaration request, the initial impulse may be to leverage information that has been gathered for similar activities in the past.  This approach may not provide all the data needed </w:t>
      </w:r>
      <w:proofErr w:type="gramStart"/>
      <w:r w:rsidRPr="00BD050D">
        <w:rPr>
          <w:rFonts w:cstheme="minorHAnsi"/>
          <w:sz w:val="24"/>
          <w:szCs w:val="24"/>
        </w:rPr>
        <w:t>and in some cases</w:t>
      </w:r>
      <w:proofErr w:type="gramEnd"/>
      <w:r w:rsidRPr="00BD050D">
        <w:rPr>
          <w:rFonts w:cstheme="minorHAnsi"/>
          <w:sz w:val="24"/>
          <w:szCs w:val="24"/>
        </w:rPr>
        <w:t xml:space="preserve"> may be invalid data for material regulatory reporting. For example, material safety data sheets (SDS) identify hazardous materials used in the </w:t>
      </w:r>
      <w:proofErr w:type="gramStart"/>
      <w:r w:rsidRPr="00BD050D">
        <w:rPr>
          <w:rFonts w:cstheme="minorHAnsi"/>
          <w:sz w:val="24"/>
          <w:szCs w:val="24"/>
        </w:rPr>
        <w:t>work place</w:t>
      </w:r>
      <w:proofErr w:type="gramEnd"/>
      <w:r w:rsidRPr="00BD050D">
        <w:rPr>
          <w:rFonts w:cstheme="minorHAnsi"/>
          <w:sz w:val="24"/>
          <w:szCs w:val="24"/>
        </w:rPr>
        <w:t xml:space="preserve">. These may not be present in the final product, and so should not be reported in the final product composition. Another example is chemicals which undergo a change during manufacturing, such as paint or unfinished polymers.  Several organizations have published guidance and helpful information to assist in this determination: </w:t>
      </w:r>
    </w:p>
    <w:p w14:paraId="2DDD202C" w14:textId="77777777" w:rsidR="004B0902" w:rsidRPr="00BD050D" w:rsidRDefault="004B0902" w:rsidP="004B0902">
      <w:pPr>
        <w:ind w:left="720"/>
        <w:rPr>
          <w:rFonts w:cstheme="minorHAnsi"/>
          <w:bCs/>
          <w:sz w:val="24"/>
          <w:szCs w:val="24"/>
        </w:rPr>
      </w:pPr>
      <w:r w:rsidRPr="00BD050D">
        <w:rPr>
          <w:rFonts w:cstheme="minorHAnsi"/>
          <w:bCs/>
          <w:sz w:val="24"/>
          <w:szCs w:val="24"/>
        </w:rPr>
        <w:t xml:space="preserve">The European Chemical Agency (ECHA) has published </w:t>
      </w:r>
      <w:hyperlink r:id="rId11" w:history="1">
        <w:r w:rsidRPr="00BD050D">
          <w:rPr>
            <w:rStyle w:val="Hyperlink"/>
            <w:rFonts w:cstheme="minorHAnsi"/>
            <w:bCs/>
            <w:color w:val="auto"/>
            <w:sz w:val="24"/>
            <w:szCs w:val="24"/>
          </w:rPr>
          <w:t>Guidance on Requirements for Substances in Articles</w:t>
        </w:r>
      </w:hyperlink>
      <w:r w:rsidRPr="00BD050D">
        <w:rPr>
          <w:rFonts w:cstheme="minorHAnsi"/>
          <w:bCs/>
          <w:sz w:val="24"/>
          <w:szCs w:val="24"/>
        </w:rPr>
        <w:t xml:space="preserve"> to assist with compliance to the EU REACH regulation (EC No. 1907/2006).</w:t>
      </w:r>
    </w:p>
    <w:p w14:paraId="1727FB6C" w14:textId="57B67FE2" w:rsidR="004B0902" w:rsidRPr="00BD050D" w:rsidRDefault="004B0902" w:rsidP="004B0902">
      <w:pPr>
        <w:ind w:left="720"/>
        <w:rPr>
          <w:rFonts w:cstheme="minorHAnsi"/>
          <w:bCs/>
          <w:sz w:val="24"/>
          <w:szCs w:val="24"/>
        </w:rPr>
      </w:pPr>
      <w:r w:rsidRPr="00BD050D">
        <w:rPr>
          <w:rFonts w:cstheme="minorHAnsi"/>
          <w:bCs/>
          <w:sz w:val="24"/>
          <w:szCs w:val="24"/>
        </w:rPr>
        <w:t xml:space="preserve">The automotive industry has published guidance for their members using the </w:t>
      </w:r>
      <w:r w:rsidR="00892B68" w:rsidRPr="00BD050D">
        <w:rPr>
          <w:rFonts w:cstheme="minorHAnsi"/>
          <w:sz w:val="24"/>
          <w:szCs w:val="24"/>
        </w:rPr>
        <w:t>International Materials Data System</w:t>
      </w:r>
      <w:r w:rsidR="00892B68" w:rsidRPr="00BD050D">
        <w:rPr>
          <w:rFonts w:cstheme="minorHAnsi"/>
          <w:bCs/>
          <w:sz w:val="24"/>
          <w:szCs w:val="24"/>
        </w:rPr>
        <w:t xml:space="preserve"> (</w:t>
      </w:r>
      <w:r w:rsidRPr="00BD050D">
        <w:rPr>
          <w:rFonts w:cstheme="minorHAnsi"/>
          <w:bCs/>
          <w:sz w:val="24"/>
          <w:szCs w:val="24"/>
        </w:rPr>
        <w:t>IMDS</w:t>
      </w:r>
      <w:r w:rsidR="00892B68" w:rsidRPr="00BD050D">
        <w:rPr>
          <w:rFonts w:cstheme="minorHAnsi"/>
          <w:bCs/>
          <w:sz w:val="24"/>
          <w:szCs w:val="24"/>
        </w:rPr>
        <w:t>)</w:t>
      </w:r>
      <w:r w:rsidRPr="00BD050D">
        <w:rPr>
          <w:rFonts w:cstheme="minorHAnsi"/>
          <w:bCs/>
          <w:sz w:val="24"/>
          <w:szCs w:val="24"/>
        </w:rPr>
        <w:t>.</w:t>
      </w:r>
    </w:p>
    <w:p w14:paraId="069CAABC" w14:textId="21F00AC1" w:rsidR="004B0902" w:rsidRPr="00BD050D" w:rsidRDefault="004B0902" w:rsidP="00EA7F48">
      <w:pPr>
        <w:spacing w:before="240"/>
        <w:ind w:left="720"/>
        <w:rPr>
          <w:rFonts w:cstheme="minorHAnsi"/>
          <w:bCs/>
          <w:sz w:val="24"/>
          <w:szCs w:val="24"/>
        </w:rPr>
      </w:pPr>
      <w:r w:rsidRPr="00BD050D">
        <w:rPr>
          <w:rFonts w:cstheme="minorHAnsi"/>
          <w:bCs/>
          <w:sz w:val="24"/>
          <w:szCs w:val="24"/>
        </w:rPr>
        <w:t xml:space="preserve">The aerospace and defense industry trade association, International Aerospace Environmental Group (IAEG) has published a </w:t>
      </w:r>
      <w:r w:rsidR="00A119D7" w:rsidRPr="00BD050D">
        <w:rPr>
          <w:rFonts w:cstheme="minorHAnsi"/>
          <w:bCs/>
          <w:sz w:val="24"/>
          <w:szCs w:val="24"/>
        </w:rPr>
        <w:t>Declaration Development Support Document</w:t>
      </w:r>
      <w:r w:rsidR="00946405" w:rsidRPr="00BD050D">
        <w:rPr>
          <w:rFonts w:cstheme="minorHAnsi"/>
          <w:bCs/>
          <w:sz w:val="24"/>
          <w:szCs w:val="24"/>
        </w:rPr>
        <w:t xml:space="preserve">. </w:t>
      </w:r>
      <w:r w:rsidRPr="00BD050D">
        <w:rPr>
          <w:rFonts w:cstheme="minorHAnsi"/>
          <w:bCs/>
          <w:sz w:val="24"/>
          <w:szCs w:val="24"/>
        </w:rPr>
        <w:t xml:space="preserve">Additionally, the </w:t>
      </w:r>
      <w:proofErr w:type="spellStart"/>
      <w:r w:rsidRPr="00BD050D">
        <w:rPr>
          <w:rFonts w:cstheme="minorHAnsi"/>
          <w:bCs/>
          <w:sz w:val="24"/>
          <w:szCs w:val="24"/>
        </w:rPr>
        <w:t>AeroSpace</w:t>
      </w:r>
      <w:proofErr w:type="spellEnd"/>
      <w:r w:rsidRPr="00BD050D">
        <w:rPr>
          <w:rFonts w:cstheme="minorHAnsi"/>
          <w:bCs/>
          <w:sz w:val="24"/>
          <w:szCs w:val="24"/>
        </w:rPr>
        <w:t xml:space="preserve"> and Defence Industries Association</w:t>
      </w:r>
      <w:r w:rsidR="00EA7F48" w:rsidRPr="00BD050D">
        <w:rPr>
          <w:rFonts w:cstheme="minorHAnsi"/>
          <w:bCs/>
          <w:sz w:val="24"/>
          <w:szCs w:val="24"/>
        </w:rPr>
        <w:t xml:space="preserve"> (ASD)</w:t>
      </w:r>
      <w:r w:rsidRPr="00BD050D">
        <w:rPr>
          <w:rFonts w:cstheme="minorHAnsi"/>
          <w:bCs/>
          <w:sz w:val="24"/>
          <w:szCs w:val="24"/>
        </w:rPr>
        <w:t xml:space="preserve"> of Europe have published  </w:t>
      </w:r>
      <w:hyperlink r:id="rId12" w:history="1">
        <w:r w:rsidRPr="00BD050D">
          <w:rPr>
            <w:rStyle w:val="Hyperlink"/>
            <w:rFonts w:cstheme="minorHAnsi"/>
            <w:bCs/>
            <w:color w:val="auto"/>
            <w:sz w:val="24"/>
            <w:szCs w:val="24"/>
          </w:rPr>
          <w:t>Sectoral Guidance for Substances in Articles under REACH</w:t>
        </w:r>
      </w:hyperlink>
      <w:r w:rsidRPr="00BD050D">
        <w:rPr>
          <w:rFonts w:cstheme="minorHAnsi"/>
          <w:bCs/>
          <w:sz w:val="24"/>
          <w:szCs w:val="24"/>
        </w:rPr>
        <w:t xml:space="preserve"> to provide strategies for declaring complex objects. </w:t>
      </w:r>
    </w:p>
    <w:p w14:paraId="3B8CCA79" w14:textId="4902BF86" w:rsidR="00ED1503" w:rsidRPr="00BD050D" w:rsidRDefault="00ED1503" w:rsidP="00F95D18">
      <w:pPr>
        <w:rPr>
          <w:rFonts w:cstheme="minorHAnsi"/>
          <w:sz w:val="24"/>
          <w:szCs w:val="24"/>
        </w:rPr>
      </w:pPr>
      <w:r w:rsidRPr="00BD050D">
        <w:rPr>
          <w:rFonts w:cstheme="minorHAnsi"/>
          <w:sz w:val="24"/>
          <w:szCs w:val="24"/>
        </w:rPr>
        <w:t>The process for a company to obtain materials declaration information from external sources would essentially be the same for both</w:t>
      </w:r>
      <w:r w:rsidR="00F95D18" w:rsidRPr="00BD050D">
        <w:rPr>
          <w:rFonts w:cstheme="minorHAnsi"/>
          <w:sz w:val="24"/>
          <w:szCs w:val="24"/>
        </w:rPr>
        <w:t xml:space="preserve"> product and p</w:t>
      </w:r>
      <w:r w:rsidRPr="00BD050D">
        <w:rPr>
          <w:rFonts w:cstheme="minorHAnsi"/>
          <w:sz w:val="24"/>
          <w:szCs w:val="24"/>
        </w:rPr>
        <w:t xml:space="preserve">rocess declarations.  It would involve requesting the supplier of an item to provide the necessary information needed.  A product declaration would include the chemical content of the delivered item.  A process declaration would include the substance used within the manufacturing processes of the delivered item, </w:t>
      </w:r>
      <w:r w:rsidR="002C2287" w:rsidRPr="00BD050D">
        <w:rPr>
          <w:rFonts w:cstheme="minorHAnsi"/>
          <w:sz w:val="24"/>
          <w:szCs w:val="24"/>
        </w:rPr>
        <w:t>even if</w:t>
      </w:r>
      <w:r w:rsidRPr="00BD050D">
        <w:rPr>
          <w:rFonts w:cstheme="minorHAnsi"/>
          <w:sz w:val="24"/>
          <w:szCs w:val="24"/>
        </w:rPr>
        <w:t xml:space="preserve"> these substances may not be</w:t>
      </w:r>
      <w:r w:rsidR="00584939" w:rsidRPr="00BD050D">
        <w:rPr>
          <w:rFonts w:cstheme="minorHAnsi"/>
          <w:sz w:val="24"/>
          <w:szCs w:val="24"/>
        </w:rPr>
        <w:t xml:space="preserve"> known to be</w:t>
      </w:r>
      <w:r w:rsidRPr="00BD050D">
        <w:rPr>
          <w:rFonts w:cstheme="minorHAnsi"/>
          <w:sz w:val="24"/>
          <w:szCs w:val="24"/>
        </w:rPr>
        <w:t xml:space="preserve"> delivered in the final item.  </w:t>
      </w:r>
    </w:p>
    <w:p w14:paraId="4C733142" w14:textId="77777777" w:rsidR="00CA29AF" w:rsidRPr="00BD050D" w:rsidRDefault="004B0902" w:rsidP="00F95D18">
      <w:pPr>
        <w:rPr>
          <w:rFonts w:cstheme="minorHAnsi"/>
          <w:sz w:val="24"/>
          <w:szCs w:val="24"/>
        </w:rPr>
      </w:pPr>
      <w:r w:rsidRPr="00BD050D">
        <w:rPr>
          <w:rFonts w:cstheme="minorHAnsi"/>
          <w:sz w:val="24"/>
          <w:szCs w:val="24"/>
        </w:rPr>
        <w:t xml:space="preserve">Industry standard and commercial off-the-shelf items are often procured through distributors. </w:t>
      </w:r>
      <w:r w:rsidR="00ED1503" w:rsidRPr="00BD050D">
        <w:rPr>
          <w:rFonts w:cstheme="minorHAnsi"/>
          <w:sz w:val="24"/>
          <w:szCs w:val="24"/>
        </w:rPr>
        <w:t>There may be difficulty in obtaining the necessa</w:t>
      </w:r>
      <w:r w:rsidR="00F95D18" w:rsidRPr="00BD050D">
        <w:rPr>
          <w:rFonts w:cstheme="minorHAnsi"/>
          <w:sz w:val="24"/>
          <w:szCs w:val="24"/>
        </w:rPr>
        <w:t>ry information from distributors</w:t>
      </w:r>
      <w:r w:rsidR="00ED1503" w:rsidRPr="00BD050D">
        <w:rPr>
          <w:rFonts w:cstheme="minorHAnsi"/>
          <w:sz w:val="24"/>
          <w:szCs w:val="24"/>
        </w:rPr>
        <w:t xml:space="preserve"> since they do not manufacture the item.  </w:t>
      </w:r>
      <w:r w:rsidR="00CA29AF" w:rsidRPr="00BD050D">
        <w:rPr>
          <w:rFonts w:cstheme="minorHAnsi"/>
          <w:sz w:val="24"/>
          <w:szCs w:val="24"/>
        </w:rPr>
        <w:t xml:space="preserve">However, distributors are an important part of the supply chain and declarations from them are likely required to get accurate information. </w:t>
      </w:r>
      <w:r w:rsidR="00F95D18" w:rsidRPr="00BD050D">
        <w:rPr>
          <w:rFonts w:cstheme="minorHAnsi"/>
          <w:sz w:val="24"/>
          <w:szCs w:val="24"/>
        </w:rPr>
        <w:t>Your</w:t>
      </w:r>
      <w:r w:rsidR="00ED1503" w:rsidRPr="00BD050D">
        <w:rPr>
          <w:rFonts w:cstheme="minorHAnsi"/>
          <w:sz w:val="24"/>
          <w:szCs w:val="24"/>
        </w:rPr>
        <w:t xml:space="preserve"> company may need to review </w:t>
      </w:r>
      <w:r w:rsidR="00F95D18" w:rsidRPr="00BD050D">
        <w:rPr>
          <w:rFonts w:cstheme="minorHAnsi"/>
          <w:sz w:val="24"/>
          <w:szCs w:val="24"/>
        </w:rPr>
        <w:t>your</w:t>
      </w:r>
      <w:r w:rsidR="00ED1503" w:rsidRPr="00BD050D">
        <w:rPr>
          <w:rFonts w:cstheme="minorHAnsi"/>
          <w:sz w:val="24"/>
          <w:szCs w:val="24"/>
        </w:rPr>
        <w:t xml:space="preserve"> contractual obligations with distributors.  In some cases</w:t>
      </w:r>
      <w:r w:rsidR="006B6D4B" w:rsidRPr="00BD050D">
        <w:rPr>
          <w:rFonts w:cstheme="minorHAnsi"/>
          <w:sz w:val="24"/>
          <w:szCs w:val="24"/>
        </w:rPr>
        <w:t>,</w:t>
      </w:r>
      <w:r w:rsidR="00ED1503" w:rsidRPr="00BD050D">
        <w:rPr>
          <w:rFonts w:cstheme="minorHAnsi"/>
          <w:sz w:val="24"/>
          <w:szCs w:val="24"/>
        </w:rPr>
        <w:t xml:space="preserve"> a company may need to contact the suppliers directly even though they pu</w:t>
      </w:r>
      <w:r w:rsidR="00F95D18" w:rsidRPr="00BD050D">
        <w:rPr>
          <w:rFonts w:cstheme="minorHAnsi"/>
          <w:sz w:val="24"/>
          <w:szCs w:val="24"/>
        </w:rPr>
        <w:t>rchase the item via distributors</w:t>
      </w:r>
      <w:r w:rsidR="00ED1503" w:rsidRPr="00BD050D">
        <w:rPr>
          <w:rFonts w:cstheme="minorHAnsi"/>
          <w:sz w:val="24"/>
          <w:szCs w:val="24"/>
        </w:rPr>
        <w:t>.</w:t>
      </w:r>
      <w:r w:rsidRPr="00BD050D">
        <w:rPr>
          <w:rFonts w:cstheme="minorHAnsi"/>
          <w:sz w:val="24"/>
          <w:szCs w:val="24"/>
        </w:rPr>
        <w:t xml:space="preserve"> </w:t>
      </w:r>
    </w:p>
    <w:p w14:paraId="5BC73548" w14:textId="0E45D9D4" w:rsidR="00946405" w:rsidRPr="00BD050D" w:rsidRDefault="004B0902" w:rsidP="00F95D18">
      <w:pPr>
        <w:rPr>
          <w:rFonts w:cstheme="minorHAnsi"/>
          <w:sz w:val="24"/>
          <w:szCs w:val="24"/>
        </w:rPr>
      </w:pPr>
      <w:r w:rsidRPr="00BD050D">
        <w:rPr>
          <w:rFonts w:cstheme="minorHAnsi"/>
          <w:sz w:val="24"/>
          <w:szCs w:val="24"/>
        </w:rPr>
        <w:t xml:space="preserve"> Alternatively, third party vendors have industry standard part or COTS databases that can provide substance information directly.</w:t>
      </w:r>
    </w:p>
    <w:p w14:paraId="28C24986" w14:textId="77777777" w:rsidR="00443D98" w:rsidRPr="00BD050D" w:rsidRDefault="00443D98" w:rsidP="00F95D18">
      <w:pPr>
        <w:rPr>
          <w:rFonts w:cstheme="minorHAnsi"/>
          <w:sz w:val="24"/>
          <w:szCs w:val="24"/>
        </w:rPr>
      </w:pPr>
    </w:p>
    <w:p w14:paraId="261F3D6A" w14:textId="5FB24C40" w:rsidR="00946405" w:rsidRPr="00BD050D" w:rsidRDefault="00946405" w:rsidP="00F95D18">
      <w:pPr>
        <w:rPr>
          <w:rFonts w:cstheme="minorHAnsi"/>
          <w:b/>
          <w:sz w:val="24"/>
          <w:szCs w:val="24"/>
        </w:rPr>
      </w:pPr>
      <w:r w:rsidRPr="00BD050D">
        <w:rPr>
          <w:rFonts w:cstheme="minorHAnsi"/>
          <w:b/>
          <w:sz w:val="24"/>
          <w:szCs w:val="24"/>
        </w:rPr>
        <w:t xml:space="preserve">4.3 Calculation of Substance Mass  </w:t>
      </w:r>
    </w:p>
    <w:p w14:paraId="31E3D74D" w14:textId="3BEEC741" w:rsidR="00946405" w:rsidRPr="00BD050D" w:rsidRDefault="00946405" w:rsidP="00946405">
      <w:pPr>
        <w:rPr>
          <w:rFonts w:cstheme="minorHAnsi"/>
          <w:sz w:val="24"/>
          <w:szCs w:val="24"/>
          <w:lang w:val="en-CA"/>
        </w:rPr>
      </w:pPr>
      <w:r w:rsidRPr="00BD050D">
        <w:rPr>
          <w:rFonts w:cstheme="minorHAnsi"/>
          <w:sz w:val="24"/>
          <w:szCs w:val="24"/>
          <w:lang w:val="en-CA"/>
        </w:rPr>
        <w:t xml:space="preserve">When a substance is reported in a declaration, it includes mass information – this may be either the mass of the substance or a mass percent (the mass of the substance divided by the mass of the material or subproduct (or product) that the substance is assigned to in the declaration hierarchy).  However, the recipient of the declaration may not know enough about the manufacturing of the product (or its parts) to identify the </w:t>
      </w:r>
      <w:r w:rsidR="00892B68" w:rsidRPr="00BD050D">
        <w:rPr>
          <w:rFonts w:cstheme="minorHAnsi"/>
          <w:sz w:val="24"/>
          <w:szCs w:val="24"/>
          <w:lang w:val="en-CA"/>
        </w:rPr>
        <w:t xml:space="preserve">declarable </w:t>
      </w:r>
      <w:r w:rsidRPr="00BD050D">
        <w:rPr>
          <w:rFonts w:cstheme="minorHAnsi"/>
          <w:sz w:val="24"/>
          <w:szCs w:val="24"/>
          <w:lang w:val="en-CA"/>
        </w:rPr>
        <w:t xml:space="preserve">article. It is best if the supplier identifies this </w:t>
      </w:r>
      <w:r w:rsidR="00892B68" w:rsidRPr="00BD050D">
        <w:rPr>
          <w:rFonts w:cstheme="minorHAnsi"/>
          <w:sz w:val="24"/>
          <w:szCs w:val="24"/>
          <w:lang w:val="en-CA"/>
        </w:rPr>
        <w:t xml:space="preserve">declarable </w:t>
      </w:r>
      <w:r w:rsidRPr="00BD050D">
        <w:rPr>
          <w:rFonts w:cstheme="minorHAnsi"/>
          <w:sz w:val="24"/>
          <w:szCs w:val="24"/>
          <w:lang w:val="en-CA"/>
        </w:rPr>
        <w:t xml:space="preserve">article and passes sufficient information down the manufacturing chain for downstream manufacturers to assess compliance requirements.  For the recipient to be able to determine the mass percent of the SVHC in the article, the supplier needs to include the </w:t>
      </w:r>
      <w:r w:rsidR="00892B68" w:rsidRPr="00BD050D">
        <w:rPr>
          <w:rFonts w:cstheme="minorHAnsi"/>
          <w:sz w:val="24"/>
          <w:szCs w:val="24"/>
          <w:lang w:val="en-CA"/>
        </w:rPr>
        <w:t xml:space="preserve">declarable </w:t>
      </w:r>
      <w:r w:rsidRPr="00BD050D">
        <w:rPr>
          <w:rFonts w:cstheme="minorHAnsi"/>
          <w:sz w:val="24"/>
          <w:szCs w:val="24"/>
          <w:lang w:val="en-CA"/>
        </w:rPr>
        <w:t>article as an object in the declaration (this could be a material, subproduct or the product) and it needs to be identified as an article.</w:t>
      </w:r>
    </w:p>
    <w:p w14:paraId="0CC77E24" w14:textId="22DA0A21" w:rsidR="00946405" w:rsidRPr="00BD050D" w:rsidRDefault="00892B68" w:rsidP="00946405">
      <w:pPr>
        <w:rPr>
          <w:rFonts w:cstheme="minorHAnsi"/>
          <w:sz w:val="24"/>
          <w:szCs w:val="24"/>
          <w:lang w:val="en-CA"/>
        </w:rPr>
      </w:pPr>
      <w:r w:rsidRPr="00BD050D">
        <w:rPr>
          <w:rFonts w:cstheme="minorHAnsi"/>
          <w:bCs/>
          <w:sz w:val="24"/>
          <w:szCs w:val="24"/>
        </w:rPr>
        <w:t>K</w:t>
      </w:r>
      <w:r w:rsidR="00946405" w:rsidRPr="00BD050D">
        <w:rPr>
          <w:rFonts w:cstheme="minorHAnsi"/>
          <w:bCs/>
          <w:sz w:val="24"/>
          <w:szCs w:val="24"/>
        </w:rPr>
        <w:t>ey feature</w:t>
      </w:r>
      <w:r w:rsidRPr="00BD050D">
        <w:rPr>
          <w:rFonts w:cstheme="minorHAnsi"/>
          <w:bCs/>
          <w:sz w:val="24"/>
          <w:szCs w:val="24"/>
        </w:rPr>
        <w:t>s</w:t>
      </w:r>
      <w:r w:rsidR="00946405" w:rsidRPr="00BD050D">
        <w:rPr>
          <w:rFonts w:cstheme="minorHAnsi"/>
          <w:bCs/>
          <w:sz w:val="24"/>
          <w:szCs w:val="24"/>
        </w:rPr>
        <w:t xml:space="preserve"> of the IAEG publication</w:t>
      </w:r>
      <w:hyperlink r:id="rId13" w:history="1">
        <w:r w:rsidR="0094538E" w:rsidRPr="00BD050D">
          <w:rPr>
            <w:rStyle w:val="Hyperlink"/>
            <w:rFonts w:cstheme="minorHAnsi"/>
            <w:bCs/>
            <w:color w:val="auto"/>
            <w:sz w:val="24"/>
            <w:szCs w:val="24"/>
          </w:rPr>
          <w:t xml:space="preserve"> Declaration Development Support Document</w:t>
        </w:r>
      </w:hyperlink>
      <w:r w:rsidR="00946405" w:rsidRPr="00BD050D">
        <w:rPr>
          <w:rStyle w:val="CommentReference"/>
          <w:rFonts w:cstheme="minorHAnsi"/>
          <w:sz w:val="24"/>
          <w:szCs w:val="24"/>
        </w:rPr>
        <w:t xml:space="preserve"> </w:t>
      </w:r>
      <w:r w:rsidRPr="00BD050D">
        <w:rPr>
          <w:rStyle w:val="CommentReference"/>
          <w:rFonts w:cstheme="minorHAnsi"/>
          <w:sz w:val="24"/>
          <w:szCs w:val="24"/>
        </w:rPr>
        <w:t>includes</w:t>
      </w:r>
      <w:r w:rsidR="00946405" w:rsidRPr="00BD050D">
        <w:rPr>
          <w:rStyle w:val="CommentReference"/>
          <w:rFonts w:cstheme="minorHAnsi"/>
          <w:sz w:val="24"/>
          <w:szCs w:val="24"/>
        </w:rPr>
        <w:t xml:space="preserve"> examples of how to calculate mass percent of </w:t>
      </w:r>
      <w:r w:rsidR="0094538E" w:rsidRPr="00BD050D">
        <w:rPr>
          <w:rStyle w:val="CommentReference"/>
          <w:rFonts w:cstheme="minorHAnsi"/>
          <w:sz w:val="24"/>
          <w:szCs w:val="24"/>
        </w:rPr>
        <w:t>a substance</w:t>
      </w:r>
      <w:r w:rsidR="00946405" w:rsidRPr="00BD050D">
        <w:rPr>
          <w:rStyle w:val="CommentReference"/>
          <w:rFonts w:cstheme="minorHAnsi"/>
          <w:sz w:val="24"/>
          <w:szCs w:val="24"/>
        </w:rPr>
        <w:t xml:space="preserve"> using SDS, drawing or computer models and considerations for typical process or product uses</w:t>
      </w:r>
      <w:r w:rsidRPr="00BD050D">
        <w:rPr>
          <w:rStyle w:val="CommentReference"/>
          <w:rFonts w:cstheme="minorHAnsi"/>
          <w:sz w:val="24"/>
          <w:szCs w:val="24"/>
        </w:rPr>
        <w:t>.</w:t>
      </w:r>
    </w:p>
    <w:p w14:paraId="3FB48809" w14:textId="77777777" w:rsidR="00E05B18" w:rsidRPr="00BD050D" w:rsidRDefault="00E05B18" w:rsidP="002C2287">
      <w:pPr>
        <w:pStyle w:val="ReportBodyText"/>
        <w:spacing w:before="0" w:after="60"/>
        <w:ind w:left="270"/>
        <w:rPr>
          <w:rFonts w:asciiTheme="minorHAnsi" w:eastAsia="Roboto" w:hAnsiTheme="minorHAnsi" w:cstheme="minorHAnsi"/>
          <w:sz w:val="24"/>
          <w:szCs w:val="24"/>
          <w:lang w:eastAsia="en-US"/>
        </w:rPr>
      </w:pPr>
    </w:p>
    <w:p w14:paraId="1D32FBF9" w14:textId="77777777" w:rsidR="00FE390E" w:rsidRPr="00BD050D" w:rsidRDefault="00FE390E" w:rsidP="002C2287">
      <w:pPr>
        <w:pStyle w:val="ReportBodyText"/>
        <w:spacing w:before="0" w:after="60"/>
        <w:ind w:left="270"/>
        <w:rPr>
          <w:rFonts w:asciiTheme="minorHAnsi" w:eastAsia="Roboto" w:hAnsiTheme="minorHAnsi" w:cstheme="minorHAnsi"/>
          <w:sz w:val="24"/>
          <w:szCs w:val="24"/>
          <w:lang w:eastAsia="en-US"/>
        </w:rPr>
      </w:pPr>
    </w:p>
    <w:p w14:paraId="45BD0C4C" w14:textId="1C5AA511" w:rsidR="00EA180C" w:rsidRPr="00BD050D" w:rsidRDefault="00E30F39" w:rsidP="00D05C67">
      <w:pPr>
        <w:pStyle w:val="ReportBodyText"/>
        <w:spacing w:before="0" w:after="60"/>
        <w:rPr>
          <w:rFonts w:asciiTheme="minorHAnsi" w:hAnsiTheme="minorHAnsi" w:cstheme="minorHAnsi"/>
          <w:b/>
          <w:bCs/>
          <w:sz w:val="24"/>
          <w:szCs w:val="24"/>
          <w:u w:val="single"/>
          <w:lang w:eastAsia="en-US"/>
        </w:rPr>
      </w:pPr>
      <w:proofErr w:type="gramStart"/>
      <w:r w:rsidRPr="00BD050D">
        <w:rPr>
          <w:rFonts w:asciiTheme="minorHAnsi" w:hAnsiTheme="minorHAnsi" w:cstheme="minorHAnsi"/>
          <w:b/>
          <w:bCs/>
          <w:sz w:val="24"/>
          <w:szCs w:val="24"/>
          <w:u w:val="single"/>
          <w:lang w:eastAsia="en-US"/>
        </w:rPr>
        <w:t>5</w:t>
      </w:r>
      <w:r w:rsidR="005D1D2E" w:rsidRPr="00BD050D">
        <w:rPr>
          <w:rFonts w:asciiTheme="minorHAnsi" w:hAnsiTheme="minorHAnsi" w:cstheme="minorHAnsi"/>
          <w:b/>
          <w:bCs/>
          <w:sz w:val="24"/>
          <w:szCs w:val="24"/>
          <w:u w:val="single"/>
          <w:lang w:eastAsia="en-US"/>
        </w:rPr>
        <w:t xml:space="preserve">.0  </w:t>
      </w:r>
      <w:r w:rsidR="00E05B18" w:rsidRPr="00BD050D">
        <w:rPr>
          <w:rFonts w:asciiTheme="minorHAnsi" w:hAnsiTheme="minorHAnsi" w:cstheme="minorHAnsi"/>
          <w:b/>
          <w:bCs/>
          <w:sz w:val="24"/>
          <w:szCs w:val="24"/>
          <w:u w:val="single"/>
          <w:lang w:eastAsia="en-US"/>
        </w:rPr>
        <w:t>Definitions</w:t>
      </w:r>
      <w:proofErr w:type="gramEnd"/>
      <w:r w:rsidR="00DB443B" w:rsidRPr="00BD050D">
        <w:rPr>
          <w:rFonts w:asciiTheme="minorHAnsi" w:hAnsiTheme="minorHAnsi" w:cstheme="minorHAnsi"/>
          <w:b/>
          <w:bCs/>
          <w:sz w:val="24"/>
          <w:szCs w:val="24"/>
          <w:u w:val="single"/>
          <w:lang w:eastAsia="en-US"/>
        </w:rPr>
        <w:t xml:space="preserve"> and References</w:t>
      </w:r>
    </w:p>
    <w:p w14:paraId="5980F691" w14:textId="437FF86F" w:rsidR="00DB443B" w:rsidRPr="00BD050D" w:rsidRDefault="00DB443B" w:rsidP="00EA180C">
      <w:pPr>
        <w:autoSpaceDE w:val="0"/>
        <w:autoSpaceDN w:val="0"/>
        <w:adjustRightInd w:val="0"/>
        <w:spacing w:before="0"/>
        <w:ind w:left="450"/>
        <w:rPr>
          <w:rFonts w:cstheme="minorHAnsi"/>
          <w:sz w:val="24"/>
          <w:szCs w:val="24"/>
          <w:shd w:val="clear" w:color="auto" w:fill="FFFFFF"/>
          <w:lang w:eastAsia="en-GB"/>
        </w:rPr>
      </w:pPr>
    </w:p>
    <w:p w14:paraId="1F6A9969" w14:textId="55E66A2E" w:rsidR="00DB443B" w:rsidRPr="00BD050D" w:rsidRDefault="00D05C67" w:rsidP="00D05C67">
      <w:pPr>
        <w:autoSpaceDE w:val="0"/>
        <w:autoSpaceDN w:val="0"/>
        <w:adjustRightInd w:val="0"/>
        <w:spacing w:before="0"/>
        <w:rPr>
          <w:rFonts w:cstheme="minorHAnsi"/>
          <w:b/>
          <w:bCs/>
          <w:sz w:val="24"/>
          <w:szCs w:val="24"/>
          <w:u w:val="single"/>
          <w:shd w:val="clear" w:color="auto" w:fill="FFFFFF"/>
          <w:lang w:eastAsia="en-GB"/>
        </w:rPr>
      </w:pPr>
      <w:proofErr w:type="gramStart"/>
      <w:r w:rsidRPr="00BD050D">
        <w:rPr>
          <w:rFonts w:cstheme="minorHAnsi"/>
          <w:b/>
          <w:bCs/>
          <w:sz w:val="24"/>
          <w:szCs w:val="24"/>
          <w:u w:val="single"/>
          <w:shd w:val="clear" w:color="auto" w:fill="FFFFFF"/>
          <w:lang w:eastAsia="en-GB"/>
        </w:rPr>
        <w:t xml:space="preserve">5.1  </w:t>
      </w:r>
      <w:r w:rsidR="00DB443B" w:rsidRPr="00BD050D">
        <w:rPr>
          <w:rFonts w:cstheme="minorHAnsi"/>
          <w:b/>
          <w:bCs/>
          <w:sz w:val="24"/>
          <w:szCs w:val="24"/>
          <w:u w:val="single"/>
          <w:shd w:val="clear" w:color="auto" w:fill="FFFFFF"/>
          <w:lang w:eastAsia="en-GB"/>
        </w:rPr>
        <w:t>Definitions</w:t>
      </w:r>
      <w:proofErr w:type="gramEnd"/>
    </w:p>
    <w:p w14:paraId="5B50DE36" w14:textId="77777777" w:rsidR="00DB443B" w:rsidRPr="00BD050D" w:rsidRDefault="00DB443B" w:rsidP="00EA180C">
      <w:pPr>
        <w:autoSpaceDE w:val="0"/>
        <w:autoSpaceDN w:val="0"/>
        <w:adjustRightInd w:val="0"/>
        <w:spacing w:before="0"/>
        <w:ind w:left="450"/>
        <w:rPr>
          <w:rFonts w:cstheme="minorHAnsi"/>
          <w:sz w:val="24"/>
          <w:szCs w:val="24"/>
          <w:shd w:val="clear" w:color="auto" w:fill="FFFFFF"/>
          <w:lang w:eastAsia="en-GB"/>
        </w:rPr>
      </w:pPr>
    </w:p>
    <w:p w14:paraId="28DB29A8" w14:textId="1414B603" w:rsidR="00DB443B" w:rsidRPr="00BD050D" w:rsidRDefault="00D05C67" w:rsidP="00D05C67">
      <w:pPr>
        <w:pStyle w:val="ReportBodyText"/>
        <w:spacing w:before="0" w:after="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Article</w:t>
      </w:r>
      <w:r w:rsidRPr="00BD050D">
        <w:rPr>
          <w:rFonts w:asciiTheme="minorHAnsi" w:hAnsiTheme="minorHAnsi" w:cstheme="minorHAnsi"/>
          <w:sz w:val="24"/>
          <w:szCs w:val="24"/>
          <w:shd w:val="clear" w:color="auto" w:fill="FFFFFF"/>
        </w:rPr>
        <w:t xml:space="preserve"> – An article is an object which during production is given a special shape, surface or design which determines its function to a greater degree than does its chemical composition.</w:t>
      </w:r>
    </w:p>
    <w:p w14:paraId="73AC3DB1" w14:textId="31C79C3F" w:rsidR="00BE0BD9" w:rsidRPr="00BD050D" w:rsidRDefault="00BE0BD9" w:rsidP="00D05C67">
      <w:pPr>
        <w:pStyle w:val="ReportBodyText"/>
        <w:spacing w:before="0" w:after="0"/>
        <w:ind w:left="450"/>
        <w:rPr>
          <w:rFonts w:asciiTheme="minorHAnsi" w:hAnsiTheme="minorHAnsi" w:cstheme="minorHAnsi"/>
          <w:sz w:val="24"/>
          <w:szCs w:val="24"/>
          <w:shd w:val="clear" w:color="auto" w:fill="FFFFFF"/>
        </w:rPr>
      </w:pPr>
    </w:p>
    <w:p w14:paraId="7FE8BBDE" w14:textId="7DD94ABA" w:rsidR="001F7258" w:rsidRPr="00BD050D" w:rsidRDefault="00F56942" w:rsidP="00D05C67">
      <w:pPr>
        <w:pStyle w:val="ReportBodyText"/>
        <w:spacing w:before="0" w:after="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Confidential Business Information</w:t>
      </w:r>
      <w:r w:rsidRPr="00BD050D">
        <w:rPr>
          <w:rFonts w:asciiTheme="minorHAnsi" w:hAnsiTheme="minorHAnsi" w:cstheme="minorHAnsi"/>
          <w:sz w:val="24"/>
          <w:szCs w:val="24"/>
          <w:shd w:val="clear" w:color="auto" w:fill="FFFFFF"/>
        </w:rPr>
        <w:t xml:space="preserve"> (</w:t>
      </w:r>
      <w:r w:rsidR="00BE0BD9" w:rsidRPr="00BD050D">
        <w:rPr>
          <w:rFonts w:asciiTheme="minorHAnsi" w:hAnsiTheme="minorHAnsi" w:cstheme="minorHAnsi"/>
          <w:sz w:val="24"/>
          <w:szCs w:val="24"/>
          <w:shd w:val="clear" w:color="auto" w:fill="FFFFFF"/>
        </w:rPr>
        <w:t>CBI</w:t>
      </w:r>
      <w:r w:rsidRPr="00BD050D">
        <w:rPr>
          <w:rFonts w:asciiTheme="minorHAnsi" w:hAnsiTheme="minorHAnsi" w:cstheme="minorHAnsi"/>
          <w:sz w:val="24"/>
          <w:szCs w:val="24"/>
          <w:shd w:val="clear" w:color="auto" w:fill="FFFFFF"/>
        </w:rPr>
        <w:t>)</w:t>
      </w:r>
      <w:r w:rsidR="00BE0BD9" w:rsidRPr="00BD050D">
        <w:rPr>
          <w:rFonts w:asciiTheme="minorHAnsi" w:hAnsiTheme="minorHAnsi" w:cstheme="minorHAnsi"/>
          <w:sz w:val="24"/>
          <w:szCs w:val="24"/>
          <w:shd w:val="clear" w:color="auto" w:fill="FFFFFF"/>
        </w:rPr>
        <w:t xml:space="preserve"> –</w:t>
      </w:r>
      <w:r w:rsidRPr="00BD050D">
        <w:rPr>
          <w:rFonts w:asciiTheme="minorHAnsi" w:hAnsiTheme="minorHAnsi" w:cstheme="minorHAnsi"/>
          <w:sz w:val="24"/>
          <w:szCs w:val="24"/>
          <w:shd w:val="clear" w:color="auto" w:fill="FFFFFF"/>
        </w:rPr>
        <w:t xml:space="preserve"> All information owned by, or in the possession or control of, respondents that is not in the public domain related to the research, development, manufacture, marketing, commercialization, distribution, importation, exportation, cost, pricing, supply, sales, sales support, or use of a product.</w:t>
      </w:r>
    </w:p>
    <w:p w14:paraId="5DEB865D" w14:textId="362C5F8C" w:rsidR="00946405" w:rsidRPr="00BD050D" w:rsidRDefault="00946405" w:rsidP="00D05C67">
      <w:pPr>
        <w:pStyle w:val="ReportBodyText"/>
        <w:spacing w:before="0" w:after="60"/>
        <w:ind w:left="450"/>
        <w:rPr>
          <w:rFonts w:asciiTheme="minorHAnsi" w:hAnsiTheme="minorHAnsi" w:cstheme="minorHAnsi"/>
          <w:b/>
          <w:bCs/>
          <w:sz w:val="24"/>
          <w:szCs w:val="24"/>
          <w:u w:val="single"/>
          <w:lang w:eastAsia="en-US"/>
        </w:rPr>
      </w:pPr>
    </w:p>
    <w:p w14:paraId="2ABBFE8A" w14:textId="598FC9F6" w:rsidR="00751CF6" w:rsidRPr="00BD050D" w:rsidRDefault="0094538E" w:rsidP="00D05C67">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Declarable Article</w:t>
      </w:r>
      <w:r w:rsidRPr="00BD050D">
        <w:rPr>
          <w:rFonts w:asciiTheme="minorHAnsi" w:hAnsiTheme="minorHAnsi" w:cstheme="minorHAnsi"/>
          <w:sz w:val="24"/>
          <w:szCs w:val="24"/>
          <w:shd w:val="clear" w:color="auto" w:fill="FFFFFF"/>
        </w:rPr>
        <w:t xml:space="preserve"> - The article into which an instance of the </w:t>
      </w:r>
      <w:r w:rsidR="000F58C7" w:rsidRPr="00BD050D">
        <w:rPr>
          <w:rFonts w:asciiTheme="minorHAnsi" w:hAnsiTheme="minorHAnsi" w:cstheme="minorHAnsi"/>
          <w:sz w:val="24"/>
          <w:szCs w:val="24"/>
          <w:shd w:val="clear" w:color="auto" w:fill="FFFFFF"/>
        </w:rPr>
        <w:t xml:space="preserve">substance of concern </w:t>
      </w:r>
      <w:r w:rsidRPr="00BD050D">
        <w:rPr>
          <w:rFonts w:asciiTheme="minorHAnsi" w:hAnsiTheme="minorHAnsi" w:cstheme="minorHAnsi"/>
          <w:sz w:val="24"/>
          <w:szCs w:val="24"/>
          <w:shd w:val="clear" w:color="auto" w:fill="FFFFFF"/>
        </w:rPr>
        <w:t>was first incorporated.</w:t>
      </w:r>
    </w:p>
    <w:p w14:paraId="1827A236" w14:textId="2B30F51F" w:rsidR="00AA3D2C" w:rsidRPr="00BD050D" w:rsidRDefault="0094538E" w:rsidP="00AA3D2C">
      <w:pPr>
        <w:pStyle w:val="ReportBodyText"/>
        <w:spacing w:before="0" w:after="60"/>
        <w:ind w:left="720"/>
        <w:rPr>
          <w:rFonts w:asciiTheme="minorHAnsi" w:hAnsiTheme="minorHAnsi" w:cstheme="minorHAnsi"/>
          <w:sz w:val="24"/>
          <w:szCs w:val="24"/>
          <w:shd w:val="clear" w:color="auto" w:fill="FFFFFF"/>
        </w:rPr>
      </w:pPr>
      <w:r w:rsidRPr="00BD050D">
        <w:rPr>
          <w:rFonts w:asciiTheme="minorHAnsi" w:hAnsiTheme="minorHAnsi" w:cstheme="minorHAnsi"/>
          <w:sz w:val="24"/>
          <w:szCs w:val="24"/>
          <w:shd w:val="clear" w:color="auto" w:fill="FFFFFF"/>
        </w:rPr>
        <w:t>Note</w:t>
      </w:r>
      <w:r w:rsidR="00AA3D2C" w:rsidRPr="00BD050D">
        <w:rPr>
          <w:rFonts w:asciiTheme="minorHAnsi" w:hAnsiTheme="minorHAnsi" w:cstheme="minorHAnsi"/>
          <w:sz w:val="24"/>
          <w:szCs w:val="24"/>
          <w:shd w:val="clear" w:color="auto" w:fill="FFFFFF"/>
        </w:rPr>
        <w:t>s:</w:t>
      </w:r>
      <w:r w:rsidR="005F1093" w:rsidRPr="00BD050D">
        <w:rPr>
          <w:rFonts w:asciiTheme="minorHAnsi" w:hAnsiTheme="minorHAnsi" w:cstheme="minorHAnsi"/>
          <w:sz w:val="24"/>
          <w:szCs w:val="24"/>
          <w:shd w:val="clear" w:color="auto" w:fill="FFFFFF"/>
        </w:rPr>
        <w:t xml:space="preserve"> </w:t>
      </w:r>
    </w:p>
    <w:p w14:paraId="5F5A456A" w14:textId="34469B3B" w:rsidR="0094538E" w:rsidRPr="00BD050D" w:rsidRDefault="005F1093" w:rsidP="00AA3D2C">
      <w:pPr>
        <w:pStyle w:val="ReportBodyText"/>
        <w:spacing w:before="0" w:after="60"/>
        <w:ind w:left="720"/>
        <w:rPr>
          <w:rFonts w:asciiTheme="minorHAnsi" w:hAnsiTheme="minorHAnsi" w:cstheme="minorHAnsi"/>
          <w:sz w:val="24"/>
          <w:szCs w:val="24"/>
          <w:shd w:val="clear" w:color="auto" w:fill="FFFFFF"/>
        </w:rPr>
      </w:pPr>
      <w:r w:rsidRPr="00BD050D">
        <w:rPr>
          <w:rFonts w:asciiTheme="minorHAnsi" w:hAnsiTheme="minorHAnsi" w:cstheme="minorHAnsi"/>
          <w:sz w:val="24"/>
          <w:szCs w:val="24"/>
          <w:shd w:val="clear" w:color="auto" w:fill="FFFFFF"/>
        </w:rPr>
        <w:t>(i)</w:t>
      </w:r>
      <w:r w:rsidR="0094538E" w:rsidRPr="00BD050D">
        <w:rPr>
          <w:rFonts w:asciiTheme="minorHAnsi" w:hAnsiTheme="minorHAnsi" w:cstheme="minorHAnsi"/>
          <w:sz w:val="24"/>
          <w:szCs w:val="24"/>
          <w:shd w:val="clear" w:color="auto" w:fill="FFFFFF"/>
        </w:rPr>
        <w:t xml:space="preserve"> The EU REACH regulation imposes requirements on product manufacturers / importers to identify </w:t>
      </w:r>
      <w:r w:rsidRPr="00BD050D">
        <w:rPr>
          <w:rFonts w:asciiTheme="minorHAnsi" w:hAnsiTheme="minorHAnsi" w:cstheme="minorHAnsi"/>
          <w:sz w:val="24"/>
          <w:szCs w:val="24"/>
          <w:shd w:val="clear" w:color="auto" w:fill="FFFFFF"/>
        </w:rPr>
        <w:t>Substance of Very High Concern (</w:t>
      </w:r>
      <w:r w:rsidR="0094538E" w:rsidRPr="00BD050D">
        <w:rPr>
          <w:rFonts w:asciiTheme="minorHAnsi" w:hAnsiTheme="minorHAnsi" w:cstheme="minorHAnsi"/>
          <w:sz w:val="24"/>
          <w:szCs w:val="24"/>
          <w:shd w:val="clear" w:color="auto" w:fill="FFFFFF"/>
        </w:rPr>
        <w:t>SVHC</w:t>
      </w:r>
      <w:r w:rsidRPr="00BD050D">
        <w:rPr>
          <w:rFonts w:asciiTheme="minorHAnsi" w:hAnsiTheme="minorHAnsi" w:cstheme="minorHAnsi"/>
          <w:sz w:val="24"/>
          <w:szCs w:val="24"/>
          <w:shd w:val="clear" w:color="auto" w:fill="FFFFFF"/>
        </w:rPr>
        <w:t>)</w:t>
      </w:r>
      <w:r w:rsidR="0094538E" w:rsidRPr="00BD050D">
        <w:rPr>
          <w:rFonts w:asciiTheme="minorHAnsi" w:hAnsiTheme="minorHAnsi" w:cstheme="minorHAnsi"/>
          <w:sz w:val="24"/>
          <w:szCs w:val="24"/>
          <w:shd w:val="clear" w:color="auto" w:fill="FFFFFF"/>
        </w:rPr>
        <w:t xml:space="preserve"> that are present in their products above threshold. Following a European Court of Justice ruling, the European Chemical Agency (ECHA) published a guidance document clarifying that the threshold level for reporting the SVHC is 0.1% of any article in a product. This is often referred to as the “Once an Article, Always an </w:t>
      </w:r>
      <w:proofErr w:type="gramStart"/>
      <w:r w:rsidR="0094538E" w:rsidRPr="00BD050D">
        <w:rPr>
          <w:rFonts w:asciiTheme="minorHAnsi" w:hAnsiTheme="minorHAnsi" w:cstheme="minorHAnsi"/>
          <w:sz w:val="24"/>
          <w:szCs w:val="24"/>
          <w:shd w:val="clear" w:color="auto" w:fill="FFFFFF"/>
        </w:rPr>
        <w:t>Article</w:t>
      </w:r>
      <w:proofErr w:type="gramEnd"/>
      <w:r w:rsidR="0094538E" w:rsidRPr="00BD050D">
        <w:rPr>
          <w:rFonts w:asciiTheme="minorHAnsi" w:hAnsiTheme="minorHAnsi" w:cstheme="minorHAnsi"/>
          <w:sz w:val="24"/>
          <w:szCs w:val="24"/>
          <w:shd w:val="clear" w:color="auto" w:fill="FFFFFF"/>
        </w:rPr>
        <w:t>” or O5A ruling.</w:t>
      </w:r>
    </w:p>
    <w:p w14:paraId="424C359D" w14:textId="440EB76B" w:rsidR="005F1093" w:rsidRPr="00BD050D" w:rsidRDefault="005F1093" w:rsidP="00AA3D2C">
      <w:pPr>
        <w:pStyle w:val="ReportBodyText"/>
        <w:spacing w:before="0" w:after="60"/>
        <w:ind w:left="720"/>
        <w:rPr>
          <w:rFonts w:asciiTheme="minorHAnsi" w:hAnsiTheme="minorHAnsi" w:cstheme="minorHAnsi"/>
          <w:sz w:val="24"/>
          <w:szCs w:val="24"/>
          <w:shd w:val="clear" w:color="auto" w:fill="FFFFFF"/>
        </w:rPr>
      </w:pPr>
      <w:r w:rsidRPr="00BD050D">
        <w:rPr>
          <w:rFonts w:asciiTheme="minorHAnsi" w:hAnsiTheme="minorHAnsi" w:cstheme="minorHAnsi"/>
          <w:sz w:val="24"/>
          <w:szCs w:val="24"/>
          <w:shd w:val="clear" w:color="auto" w:fill="FFFFFF"/>
        </w:rPr>
        <w:t>(ii)  The US Environmental Protection Agency (EPA) defines an article as a manufactured item (1) which is formed to a specific shape or design during manufacture; (2) which has end use functions dependent in whole or in part upon its shape or design during end use; and (3) which does not release a toxic chemical under normal conditions of processing or use of that item at the facility or establishments.</w:t>
      </w:r>
    </w:p>
    <w:p w14:paraId="039F6582" w14:textId="1505D358" w:rsidR="008B580A" w:rsidRPr="00BD050D" w:rsidRDefault="008B580A" w:rsidP="00AA3D2C">
      <w:pPr>
        <w:pStyle w:val="ReportBodyText"/>
        <w:spacing w:before="0" w:after="60"/>
        <w:ind w:left="720"/>
        <w:rPr>
          <w:rFonts w:asciiTheme="minorHAnsi" w:hAnsiTheme="minorHAnsi" w:cstheme="minorHAnsi"/>
          <w:sz w:val="24"/>
          <w:szCs w:val="24"/>
          <w:shd w:val="clear" w:color="auto" w:fill="FFFFFF"/>
        </w:rPr>
      </w:pPr>
    </w:p>
    <w:p w14:paraId="1B898367" w14:textId="1E78CF03" w:rsidR="008B580A" w:rsidRPr="00BD050D" w:rsidRDefault="008B580A" w:rsidP="008B580A">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 xml:space="preserve">Declarable </w:t>
      </w:r>
      <w:r w:rsidR="00347D6E" w:rsidRPr="00BD050D">
        <w:rPr>
          <w:rFonts w:asciiTheme="minorHAnsi" w:hAnsiTheme="minorHAnsi" w:cstheme="minorHAnsi"/>
          <w:b/>
          <w:bCs/>
          <w:sz w:val="24"/>
          <w:szCs w:val="24"/>
          <w:shd w:val="clear" w:color="auto" w:fill="FFFFFF"/>
        </w:rPr>
        <w:t>S</w:t>
      </w:r>
      <w:r w:rsidRPr="00BD050D">
        <w:rPr>
          <w:rFonts w:asciiTheme="minorHAnsi" w:hAnsiTheme="minorHAnsi" w:cstheme="minorHAnsi"/>
          <w:b/>
          <w:bCs/>
          <w:sz w:val="24"/>
          <w:szCs w:val="24"/>
          <w:shd w:val="clear" w:color="auto" w:fill="FFFFFF"/>
        </w:rPr>
        <w:t xml:space="preserve">ubstance </w:t>
      </w:r>
      <w:r w:rsidR="00347D6E" w:rsidRPr="00BD050D">
        <w:rPr>
          <w:rFonts w:asciiTheme="minorHAnsi" w:hAnsiTheme="minorHAnsi" w:cstheme="minorHAnsi"/>
          <w:b/>
          <w:bCs/>
          <w:sz w:val="24"/>
          <w:szCs w:val="24"/>
          <w:shd w:val="clear" w:color="auto" w:fill="FFFFFF"/>
        </w:rPr>
        <w:t>L</w:t>
      </w:r>
      <w:r w:rsidRPr="00BD050D">
        <w:rPr>
          <w:rFonts w:asciiTheme="minorHAnsi" w:hAnsiTheme="minorHAnsi" w:cstheme="minorHAnsi"/>
          <w:b/>
          <w:bCs/>
          <w:sz w:val="24"/>
          <w:szCs w:val="24"/>
          <w:shd w:val="clear" w:color="auto" w:fill="FFFFFF"/>
        </w:rPr>
        <w:t>ist</w:t>
      </w:r>
      <w:r w:rsidR="009C1E7D" w:rsidRPr="00BD050D">
        <w:rPr>
          <w:rFonts w:asciiTheme="minorHAnsi" w:hAnsiTheme="minorHAnsi" w:cstheme="minorHAnsi"/>
          <w:sz w:val="24"/>
          <w:szCs w:val="24"/>
          <w:shd w:val="clear" w:color="auto" w:fill="FFFFFF"/>
        </w:rPr>
        <w:t xml:space="preserve"> - A defined set of substances used in products or processes that are of interest to the requestor for regulatory or product risk reasons. These sets can be regulation based, industry or company specific. </w:t>
      </w:r>
    </w:p>
    <w:p w14:paraId="1BAA730B" w14:textId="750C3560" w:rsidR="00D05C67" w:rsidRPr="00BD050D" w:rsidRDefault="00D05C67" w:rsidP="008B580A">
      <w:pPr>
        <w:pStyle w:val="ReportBodyText"/>
        <w:spacing w:before="0" w:after="60"/>
        <w:ind w:left="450"/>
        <w:rPr>
          <w:rFonts w:asciiTheme="minorHAnsi" w:hAnsiTheme="minorHAnsi" w:cstheme="minorHAnsi"/>
          <w:sz w:val="24"/>
          <w:szCs w:val="24"/>
          <w:shd w:val="clear" w:color="auto" w:fill="FFFFFF"/>
        </w:rPr>
      </w:pPr>
    </w:p>
    <w:p w14:paraId="7657C872" w14:textId="77777777" w:rsidR="00D05C67" w:rsidRPr="00BD050D" w:rsidRDefault="00D05C67" w:rsidP="00D05C67">
      <w:pPr>
        <w:pStyle w:val="ReportBodyText"/>
        <w:spacing w:before="0" w:after="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Enterprise Resource Planning</w:t>
      </w:r>
      <w:r w:rsidRPr="00BD050D">
        <w:rPr>
          <w:rFonts w:asciiTheme="minorHAnsi" w:hAnsiTheme="minorHAnsi" w:cstheme="minorHAnsi"/>
          <w:sz w:val="24"/>
          <w:szCs w:val="24"/>
          <w:shd w:val="clear" w:color="auto" w:fill="FFFFFF"/>
        </w:rPr>
        <w:t xml:space="preserve"> (ERP) - A category of business management software—typically a suite of integrated applications—that an organization can use to collect, store, manage, and interpret data from many business activities. </w:t>
      </w:r>
    </w:p>
    <w:p w14:paraId="61BBC4BE" w14:textId="77777777" w:rsidR="009C1E7D" w:rsidRPr="00BD050D" w:rsidRDefault="009C1E7D" w:rsidP="00D05C67">
      <w:pPr>
        <w:pStyle w:val="ReportBodyText"/>
        <w:spacing w:before="0" w:after="60"/>
        <w:rPr>
          <w:rFonts w:asciiTheme="minorHAnsi" w:hAnsiTheme="minorHAnsi" w:cstheme="minorHAnsi"/>
          <w:sz w:val="24"/>
          <w:szCs w:val="24"/>
          <w:shd w:val="clear" w:color="auto" w:fill="FFFFFF"/>
        </w:rPr>
      </w:pPr>
    </w:p>
    <w:p w14:paraId="0D8B6E43" w14:textId="38CBCD1A" w:rsidR="003F510C" w:rsidRPr="00BD050D" w:rsidRDefault="009C1E7D" w:rsidP="00D05C67">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 xml:space="preserve">Material </w:t>
      </w:r>
      <w:r w:rsidR="00347D6E" w:rsidRPr="00BD050D">
        <w:rPr>
          <w:rFonts w:asciiTheme="minorHAnsi" w:hAnsiTheme="minorHAnsi" w:cstheme="minorHAnsi"/>
          <w:b/>
          <w:bCs/>
          <w:sz w:val="24"/>
          <w:szCs w:val="24"/>
          <w:shd w:val="clear" w:color="auto" w:fill="FFFFFF"/>
        </w:rPr>
        <w:t>U</w:t>
      </w:r>
      <w:r w:rsidRPr="00BD050D">
        <w:rPr>
          <w:rFonts w:asciiTheme="minorHAnsi" w:hAnsiTheme="minorHAnsi" w:cstheme="minorHAnsi"/>
          <w:b/>
          <w:bCs/>
          <w:sz w:val="24"/>
          <w:szCs w:val="24"/>
          <w:shd w:val="clear" w:color="auto" w:fill="FFFFFF"/>
        </w:rPr>
        <w:t xml:space="preserve">se </w:t>
      </w:r>
      <w:r w:rsidR="00347D6E" w:rsidRPr="00BD050D">
        <w:rPr>
          <w:rFonts w:asciiTheme="minorHAnsi" w:hAnsiTheme="minorHAnsi" w:cstheme="minorHAnsi"/>
          <w:b/>
          <w:bCs/>
          <w:sz w:val="24"/>
          <w:szCs w:val="24"/>
          <w:shd w:val="clear" w:color="auto" w:fill="FFFFFF"/>
        </w:rPr>
        <w:t>D</w:t>
      </w:r>
      <w:r w:rsidRPr="00BD050D">
        <w:rPr>
          <w:rFonts w:asciiTheme="minorHAnsi" w:hAnsiTheme="minorHAnsi" w:cstheme="minorHAnsi"/>
          <w:b/>
          <w:bCs/>
          <w:sz w:val="24"/>
          <w:szCs w:val="24"/>
          <w:shd w:val="clear" w:color="auto" w:fill="FFFFFF"/>
        </w:rPr>
        <w:t>escription</w:t>
      </w:r>
      <w:r w:rsidR="0001369B" w:rsidRPr="00BD050D">
        <w:rPr>
          <w:rFonts w:asciiTheme="minorHAnsi" w:hAnsiTheme="minorHAnsi" w:cstheme="minorHAnsi"/>
          <w:sz w:val="24"/>
          <w:szCs w:val="24"/>
          <w:shd w:val="clear" w:color="auto" w:fill="FFFFFF"/>
        </w:rPr>
        <w:t xml:space="preserve"> - Function of the material for the product or process being declared.</w:t>
      </w:r>
    </w:p>
    <w:p w14:paraId="6C38AEF4" w14:textId="559CB682" w:rsidR="003F510C" w:rsidRPr="00BD050D" w:rsidRDefault="003F510C" w:rsidP="003F510C">
      <w:pPr>
        <w:pStyle w:val="ReportBodyText"/>
        <w:spacing w:before="0" w:after="60"/>
        <w:ind w:left="450"/>
        <w:rPr>
          <w:rFonts w:asciiTheme="minorHAnsi" w:hAnsiTheme="minorHAnsi" w:cstheme="minorHAnsi"/>
          <w:sz w:val="24"/>
          <w:szCs w:val="24"/>
          <w:shd w:val="clear" w:color="auto" w:fill="FFFFFF"/>
        </w:rPr>
      </w:pPr>
    </w:p>
    <w:p w14:paraId="78127A68" w14:textId="044A2826" w:rsidR="003F510C" w:rsidRPr="00BD050D" w:rsidRDefault="003F510C" w:rsidP="003F510C">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Product</w:t>
      </w:r>
      <w:r w:rsidRPr="00BD050D">
        <w:rPr>
          <w:rFonts w:asciiTheme="minorHAnsi" w:hAnsiTheme="minorHAnsi" w:cstheme="minorHAnsi"/>
          <w:sz w:val="24"/>
          <w:szCs w:val="24"/>
          <w:shd w:val="clear" w:color="auto" w:fill="FFFFFF"/>
        </w:rPr>
        <w:t xml:space="preserve"> </w:t>
      </w:r>
      <w:r w:rsidR="00A119D7" w:rsidRPr="00BD050D">
        <w:rPr>
          <w:rFonts w:asciiTheme="minorHAnsi" w:hAnsiTheme="minorHAnsi" w:cstheme="minorHAnsi"/>
          <w:sz w:val="24"/>
          <w:szCs w:val="24"/>
          <w:shd w:val="clear" w:color="auto" w:fill="FFFFFF"/>
        </w:rPr>
        <w:t xml:space="preserve">– </w:t>
      </w:r>
      <w:r w:rsidR="00D05C67" w:rsidRPr="00BD050D">
        <w:rPr>
          <w:rFonts w:asciiTheme="minorHAnsi" w:hAnsiTheme="minorHAnsi" w:cstheme="minorHAnsi"/>
          <w:sz w:val="24"/>
          <w:szCs w:val="24"/>
          <w:shd w:val="clear" w:color="auto" w:fill="FFFFFF"/>
        </w:rPr>
        <w:t>A</w:t>
      </w:r>
      <w:r w:rsidR="00A119D7" w:rsidRPr="00BD050D">
        <w:rPr>
          <w:rFonts w:asciiTheme="minorHAnsi" w:hAnsiTheme="minorHAnsi" w:cstheme="minorHAnsi"/>
          <w:sz w:val="24"/>
          <w:szCs w:val="24"/>
          <w:shd w:val="clear" w:color="auto" w:fill="FFFFFF"/>
        </w:rPr>
        <w:t>n</w:t>
      </w:r>
      <w:r w:rsidR="00D05C67" w:rsidRPr="00BD050D">
        <w:rPr>
          <w:rFonts w:asciiTheme="minorHAnsi" w:hAnsiTheme="minorHAnsi" w:cstheme="minorHAnsi"/>
          <w:sz w:val="24"/>
          <w:szCs w:val="24"/>
          <w:shd w:val="clear" w:color="auto" w:fill="FFFFFF"/>
        </w:rPr>
        <w:t>y</w:t>
      </w:r>
      <w:r w:rsidR="00A119D7" w:rsidRPr="00BD050D">
        <w:rPr>
          <w:rFonts w:asciiTheme="minorHAnsi" w:hAnsiTheme="minorHAnsi" w:cstheme="minorHAnsi"/>
          <w:sz w:val="24"/>
          <w:szCs w:val="24"/>
          <w:shd w:val="clear" w:color="auto" w:fill="FFFFFF"/>
        </w:rPr>
        <w:t xml:space="preserve"> substance, material</w:t>
      </w:r>
      <w:r w:rsidR="00D05C67" w:rsidRPr="00BD050D">
        <w:rPr>
          <w:rFonts w:asciiTheme="minorHAnsi" w:hAnsiTheme="minorHAnsi" w:cstheme="minorHAnsi"/>
          <w:sz w:val="24"/>
          <w:szCs w:val="24"/>
          <w:shd w:val="clear" w:color="auto" w:fill="FFFFFF"/>
        </w:rPr>
        <w:t xml:space="preserve">, sub-part, sub-assembly or assembly up to a finished manufacturer’s assembly that is the subject of a declaration.   </w:t>
      </w:r>
    </w:p>
    <w:p w14:paraId="2BF2FB25" w14:textId="23997CE8" w:rsidR="00D05C67" w:rsidRPr="00BD050D" w:rsidRDefault="00D05C67" w:rsidP="003F510C">
      <w:pPr>
        <w:pStyle w:val="ReportBodyText"/>
        <w:spacing w:before="0" w:after="60"/>
        <w:ind w:left="450"/>
        <w:rPr>
          <w:rFonts w:asciiTheme="minorHAnsi" w:hAnsiTheme="minorHAnsi" w:cstheme="minorHAnsi"/>
          <w:sz w:val="24"/>
          <w:szCs w:val="24"/>
          <w:shd w:val="clear" w:color="auto" w:fill="FFFFFF"/>
        </w:rPr>
      </w:pPr>
    </w:p>
    <w:p w14:paraId="4FCA1384" w14:textId="3CC0AE3E" w:rsidR="00D05C67" w:rsidRPr="00BD050D" w:rsidRDefault="00D05C67" w:rsidP="00D05C67">
      <w:pPr>
        <w:pStyle w:val="ReportBodyText"/>
        <w:spacing w:before="0" w:after="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Product Lifecycle Management</w:t>
      </w:r>
      <w:r w:rsidRPr="00BD050D">
        <w:rPr>
          <w:rFonts w:asciiTheme="minorHAnsi" w:hAnsiTheme="minorHAnsi" w:cstheme="minorHAnsi"/>
          <w:sz w:val="24"/>
          <w:szCs w:val="24"/>
          <w:shd w:val="clear" w:color="auto" w:fill="FFFFFF"/>
        </w:rPr>
        <w:t> (PLM) - The process of managing the entire lifecycle of a product from its inception through the engineering, design, and manufacture, as well as the service and disposal of manufactured products.</w:t>
      </w:r>
    </w:p>
    <w:p w14:paraId="46E95890" w14:textId="00F77691" w:rsidR="00D05C67" w:rsidRPr="00BD050D" w:rsidRDefault="00D05C67" w:rsidP="00D05C67">
      <w:pPr>
        <w:pStyle w:val="ReportBodyText"/>
        <w:spacing w:before="0" w:after="0"/>
        <w:ind w:left="450"/>
        <w:rPr>
          <w:rFonts w:asciiTheme="minorHAnsi" w:hAnsiTheme="minorHAnsi" w:cstheme="minorHAnsi"/>
          <w:sz w:val="24"/>
          <w:szCs w:val="24"/>
          <w:shd w:val="clear" w:color="auto" w:fill="FFFFFF"/>
        </w:rPr>
      </w:pPr>
    </w:p>
    <w:p w14:paraId="308C3B85" w14:textId="06D1C6FF" w:rsidR="00D05C67" w:rsidRPr="00BD050D" w:rsidRDefault="00D05C67" w:rsidP="00D05C67">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Query List</w:t>
      </w:r>
      <w:r w:rsidRPr="00BD050D">
        <w:rPr>
          <w:rFonts w:asciiTheme="minorHAnsi" w:hAnsiTheme="minorHAnsi" w:cstheme="minorHAnsi"/>
          <w:sz w:val="24"/>
          <w:szCs w:val="24"/>
          <w:shd w:val="clear" w:color="auto" w:fill="FFFFFF"/>
        </w:rPr>
        <w:t xml:space="preserve"> – A series of questions or product statements that are used by the requestor to seek information about substance use, regulatory risk or reporting.</w:t>
      </w:r>
    </w:p>
    <w:p w14:paraId="5259882D" w14:textId="77777777" w:rsidR="00D05C67" w:rsidRPr="00BD050D" w:rsidRDefault="00D05C67" w:rsidP="003F510C">
      <w:pPr>
        <w:pStyle w:val="ReportBodyText"/>
        <w:spacing w:before="0" w:after="60"/>
        <w:ind w:left="450"/>
        <w:rPr>
          <w:rFonts w:asciiTheme="minorHAnsi" w:hAnsiTheme="minorHAnsi" w:cstheme="minorHAnsi"/>
          <w:sz w:val="24"/>
          <w:szCs w:val="24"/>
          <w:shd w:val="clear" w:color="auto" w:fill="FFFFFF"/>
        </w:rPr>
      </w:pPr>
    </w:p>
    <w:p w14:paraId="7A9094A7" w14:textId="58F1491C" w:rsidR="00D05C67" w:rsidRPr="00BD050D" w:rsidRDefault="00D05C67" w:rsidP="00881948">
      <w:pPr>
        <w:autoSpaceDE w:val="0"/>
        <w:autoSpaceDN w:val="0"/>
        <w:adjustRightInd w:val="0"/>
        <w:spacing w:before="0"/>
        <w:ind w:left="450"/>
        <w:rPr>
          <w:rFonts w:cstheme="minorHAnsi"/>
          <w:sz w:val="24"/>
          <w:szCs w:val="24"/>
          <w:shd w:val="clear" w:color="auto" w:fill="FFFFFF"/>
          <w:lang w:eastAsia="en-GB"/>
        </w:rPr>
      </w:pPr>
      <w:r w:rsidRPr="00BD050D">
        <w:rPr>
          <w:rFonts w:cstheme="minorHAnsi"/>
          <w:b/>
          <w:bCs/>
          <w:sz w:val="24"/>
          <w:szCs w:val="24"/>
          <w:shd w:val="clear" w:color="auto" w:fill="FFFFFF"/>
          <w:lang w:eastAsia="en-GB"/>
        </w:rPr>
        <w:t>Sub</w:t>
      </w:r>
      <w:r w:rsidR="00F53382" w:rsidRPr="00BD050D">
        <w:rPr>
          <w:rFonts w:cstheme="minorHAnsi"/>
          <w:b/>
          <w:bCs/>
          <w:sz w:val="24"/>
          <w:szCs w:val="24"/>
          <w:shd w:val="clear" w:color="auto" w:fill="FFFFFF"/>
          <w:lang w:eastAsia="en-GB"/>
        </w:rPr>
        <w:t>p</w:t>
      </w:r>
      <w:r w:rsidRPr="00BD050D">
        <w:rPr>
          <w:rFonts w:cstheme="minorHAnsi"/>
          <w:b/>
          <w:bCs/>
          <w:sz w:val="24"/>
          <w:szCs w:val="24"/>
          <w:shd w:val="clear" w:color="auto" w:fill="FFFFFF"/>
          <w:lang w:eastAsia="en-GB"/>
        </w:rPr>
        <w:t>roduct</w:t>
      </w:r>
      <w:r w:rsidRPr="00BD050D">
        <w:rPr>
          <w:rFonts w:cstheme="minorHAnsi"/>
          <w:sz w:val="24"/>
          <w:szCs w:val="24"/>
          <w:shd w:val="clear" w:color="auto" w:fill="FFFFFF"/>
          <w:lang w:eastAsia="en-GB"/>
        </w:rPr>
        <w:t xml:space="preserve"> </w:t>
      </w:r>
      <w:r w:rsidR="00A13A42" w:rsidRPr="00BD050D">
        <w:rPr>
          <w:rFonts w:cstheme="minorHAnsi"/>
          <w:sz w:val="24"/>
          <w:szCs w:val="24"/>
          <w:shd w:val="clear" w:color="auto" w:fill="FFFFFF"/>
          <w:lang w:eastAsia="en-GB"/>
        </w:rPr>
        <w:t>–</w:t>
      </w:r>
      <w:r w:rsidRPr="00BD050D">
        <w:rPr>
          <w:rFonts w:cstheme="minorHAnsi"/>
          <w:sz w:val="24"/>
          <w:szCs w:val="24"/>
          <w:shd w:val="clear" w:color="auto" w:fill="FFFFFF"/>
          <w:lang w:eastAsia="en-GB"/>
        </w:rPr>
        <w:t xml:space="preserve"> </w:t>
      </w:r>
      <w:r w:rsidR="00A13A42" w:rsidRPr="00BD050D">
        <w:rPr>
          <w:rFonts w:cstheme="minorHAnsi"/>
          <w:sz w:val="24"/>
          <w:szCs w:val="24"/>
          <w:shd w:val="clear" w:color="auto" w:fill="FFFFFF"/>
          <w:lang w:eastAsia="en-GB"/>
        </w:rPr>
        <w:t xml:space="preserve">Elements of a declaration that </w:t>
      </w:r>
      <w:r w:rsidR="000042C0" w:rsidRPr="00BD050D">
        <w:rPr>
          <w:rFonts w:cstheme="minorHAnsi"/>
          <w:sz w:val="24"/>
          <w:szCs w:val="24"/>
          <w:shd w:val="clear" w:color="auto" w:fill="FFFFFF"/>
          <w:lang w:eastAsia="en-GB"/>
        </w:rPr>
        <w:t xml:space="preserve">is </w:t>
      </w:r>
      <w:r w:rsidR="00A13A42" w:rsidRPr="00BD050D">
        <w:rPr>
          <w:rFonts w:cstheme="minorHAnsi"/>
          <w:sz w:val="24"/>
          <w:szCs w:val="24"/>
          <w:shd w:val="clear" w:color="auto" w:fill="FFFFFF"/>
          <w:lang w:eastAsia="en-GB"/>
        </w:rPr>
        <w:t>comprise</w:t>
      </w:r>
      <w:r w:rsidR="000042C0" w:rsidRPr="00BD050D">
        <w:rPr>
          <w:rFonts w:cstheme="minorHAnsi"/>
          <w:sz w:val="24"/>
          <w:szCs w:val="24"/>
          <w:shd w:val="clear" w:color="auto" w:fill="FFFFFF"/>
          <w:lang w:eastAsia="en-GB"/>
        </w:rPr>
        <w:t>d</w:t>
      </w:r>
      <w:r w:rsidR="00A13A42" w:rsidRPr="00BD050D">
        <w:rPr>
          <w:rFonts w:cstheme="minorHAnsi"/>
          <w:sz w:val="24"/>
          <w:szCs w:val="24"/>
          <w:shd w:val="clear" w:color="auto" w:fill="FFFFFF"/>
          <w:lang w:eastAsia="en-GB"/>
        </w:rPr>
        <w:t xml:space="preserve"> </w:t>
      </w:r>
      <w:r w:rsidR="000042C0" w:rsidRPr="00BD050D">
        <w:rPr>
          <w:rFonts w:cstheme="minorHAnsi"/>
          <w:sz w:val="24"/>
          <w:szCs w:val="24"/>
          <w:shd w:val="clear" w:color="auto" w:fill="FFFFFF"/>
          <w:lang w:eastAsia="en-GB"/>
        </w:rPr>
        <w:t>of upstream supplier data to be incorporated into the</w:t>
      </w:r>
      <w:r w:rsidR="00A13A42" w:rsidRPr="00BD050D">
        <w:rPr>
          <w:rFonts w:cstheme="minorHAnsi"/>
          <w:sz w:val="24"/>
          <w:szCs w:val="24"/>
          <w:shd w:val="clear" w:color="auto" w:fill="FFFFFF"/>
          <w:lang w:eastAsia="en-GB"/>
        </w:rPr>
        <w:t xml:space="preserve"> </w:t>
      </w:r>
      <w:r w:rsidR="000042C0" w:rsidRPr="00BD050D">
        <w:rPr>
          <w:rFonts w:cstheme="minorHAnsi"/>
          <w:sz w:val="24"/>
          <w:szCs w:val="24"/>
          <w:shd w:val="clear" w:color="auto" w:fill="FFFFFF"/>
          <w:lang w:eastAsia="en-GB"/>
        </w:rPr>
        <w:t>next</w:t>
      </w:r>
      <w:r w:rsidR="00A13A42" w:rsidRPr="00BD050D">
        <w:rPr>
          <w:rFonts w:cstheme="minorHAnsi"/>
          <w:sz w:val="24"/>
          <w:szCs w:val="24"/>
          <w:shd w:val="clear" w:color="auto" w:fill="FFFFFF"/>
          <w:lang w:eastAsia="en-GB"/>
        </w:rPr>
        <w:t xml:space="preserve"> level product. A subproduct can be a material, su</w:t>
      </w:r>
      <w:r w:rsidR="00BA41A9" w:rsidRPr="00BD050D">
        <w:rPr>
          <w:rFonts w:cstheme="minorHAnsi"/>
          <w:sz w:val="24"/>
          <w:szCs w:val="24"/>
          <w:shd w:val="clear" w:color="auto" w:fill="FFFFFF"/>
          <w:lang w:eastAsia="en-GB"/>
        </w:rPr>
        <w:t>b</w:t>
      </w:r>
      <w:r w:rsidR="00A13A42" w:rsidRPr="00BD050D">
        <w:rPr>
          <w:rFonts w:cstheme="minorHAnsi"/>
          <w:sz w:val="24"/>
          <w:szCs w:val="24"/>
          <w:shd w:val="clear" w:color="auto" w:fill="FFFFFF"/>
          <w:lang w:eastAsia="en-GB"/>
        </w:rPr>
        <w:t>-part or sub-assembly</w:t>
      </w:r>
      <w:r w:rsidR="00881948" w:rsidRPr="00BD050D">
        <w:rPr>
          <w:rFonts w:cstheme="minorHAnsi"/>
          <w:sz w:val="24"/>
          <w:szCs w:val="24"/>
          <w:shd w:val="clear" w:color="auto" w:fill="FFFFFF"/>
          <w:lang w:eastAsia="en-GB"/>
        </w:rPr>
        <w:t>.</w:t>
      </w:r>
    </w:p>
    <w:p w14:paraId="3B8E8ACB" w14:textId="666F5C7E" w:rsidR="004A4180" w:rsidRPr="00BD050D" w:rsidRDefault="004A4180" w:rsidP="00881948">
      <w:pPr>
        <w:autoSpaceDE w:val="0"/>
        <w:autoSpaceDN w:val="0"/>
        <w:adjustRightInd w:val="0"/>
        <w:spacing w:before="0"/>
        <w:ind w:left="450"/>
        <w:rPr>
          <w:rFonts w:cstheme="minorHAnsi"/>
          <w:sz w:val="24"/>
          <w:szCs w:val="24"/>
          <w:shd w:val="clear" w:color="auto" w:fill="FFFFFF"/>
          <w:lang w:eastAsia="en-GB"/>
        </w:rPr>
      </w:pPr>
    </w:p>
    <w:p w14:paraId="593C4A4E" w14:textId="2928A906" w:rsidR="004A4180" w:rsidRPr="00BD050D" w:rsidRDefault="004A4180" w:rsidP="00881948">
      <w:pPr>
        <w:autoSpaceDE w:val="0"/>
        <w:autoSpaceDN w:val="0"/>
        <w:adjustRightInd w:val="0"/>
        <w:spacing w:before="0"/>
        <w:ind w:left="450"/>
        <w:rPr>
          <w:rFonts w:cstheme="minorHAnsi"/>
          <w:sz w:val="24"/>
          <w:szCs w:val="24"/>
          <w:shd w:val="clear" w:color="auto" w:fill="FFFFFF"/>
          <w:lang w:eastAsia="en-GB"/>
        </w:rPr>
      </w:pPr>
      <w:r w:rsidRPr="00BD050D">
        <w:rPr>
          <w:rFonts w:cstheme="minorHAnsi"/>
          <w:b/>
          <w:bCs/>
          <w:sz w:val="24"/>
          <w:szCs w:val="24"/>
          <w:shd w:val="clear" w:color="auto" w:fill="FFFFFF"/>
          <w:lang w:eastAsia="en-GB"/>
        </w:rPr>
        <w:t>Substance Group</w:t>
      </w:r>
      <w:r w:rsidR="00147844" w:rsidRPr="00BD050D">
        <w:rPr>
          <w:rFonts w:cstheme="minorHAnsi"/>
          <w:sz w:val="24"/>
          <w:szCs w:val="24"/>
          <w:shd w:val="clear" w:color="auto" w:fill="FFFFFF"/>
          <w:lang w:eastAsia="en-GB"/>
        </w:rPr>
        <w:t xml:space="preserve"> – Two or more substances that share at least one chemical structure, or chemical or physical property under a generic </w:t>
      </w:r>
      <w:proofErr w:type="gramStart"/>
      <w:r w:rsidR="00147844" w:rsidRPr="00BD050D">
        <w:rPr>
          <w:rFonts w:cstheme="minorHAnsi"/>
          <w:sz w:val="24"/>
          <w:szCs w:val="24"/>
          <w:shd w:val="clear" w:color="auto" w:fill="FFFFFF"/>
          <w:lang w:eastAsia="en-GB"/>
        </w:rPr>
        <w:t>name</w:t>
      </w:r>
      <w:proofErr w:type="gramEnd"/>
    </w:p>
    <w:p w14:paraId="4260DC95" w14:textId="2219DF80" w:rsidR="00D05C67" w:rsidRPr="00BD050D" w:rsidRDefault="00D05C67" w:rsidP="003F510C">
      <w:pPr>
        <w:pStyle w:val="ReportBodyText"/>
        <w:spacing w:before="0" w:after="60"/>
        <w:ind w:left="450"/>
        <w:rPr>
          <w:rFonts w:asciiTheme="minorHAnsi" w:hAnsiTheme="minorHAnsi" w:cstheme="minorHAnsi"/>
          <w:sz w:val="24"/>
          <w:szCs w:val="24"/>
          <w:shd w:val="clear" w:color="auto" w:fill="FFFFFF"/>
        </w:rPr>
      </w:pPr>
    </w:p>
    <w:p w14:paraId="559FE5E0" w14:textId="003EDDDB" w:rsidR="00D05C67" w:rsidRPr="00BD050D" w:rsidRDefault="00D05C67" w:rsidP="00D05C67">
      <w:pPr>
        <w:pStyle w:val="ReportBodyText"/>
        <w:spacing w:before="0" w:after="6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Substance Use Description</w:t>
      </w:r>
      <w:r w:rsidRPr="00BD050D">
        <w:rPr>
          <w:rFonts w:asciiTheme="minorHAnsi" w:hAnsiTheme="minorHAnsi" w:cstheme="minorHAnsi"/>
          <w:sz w:val="24"/>
          <w:szCs w:val="24"/>
          <w:shd w:val="clear" w:color="auto" w:fill="FFFFFF"/>
        </w:rPr>
        <w:t xml:space="preserve"> - Function of the substance for the product or process being declared. </w:t>
      </w:r>
    </w:p>
    <w:p w14:paraId="5B30CF61" w14:textId="77777777" w:rsidR="00D05C67" w:rsidRPr="00BD050D" w:rsidRDefault="00D05C67" w:rsidP="003F510C">
      <w:pPr>
        <w:pStyle w:val="ReportBodyText"/>
        <w:spacing w:before="0" w:after="60"/>
        <w:ind w:left="450"/>
        <w:rPr>
          <w:rFonts w:asciiTheme="minorHAnsi" w:hAnsiTheme="minorHAnsi" w:cstheme="minorHAnsi"/>
          <w:sz w:val="24"/>
          <w:szCs w:val="24"/>
          <w:shd w:val="clear" w:color="auto" w:fill="FFFFFF"/>
        </w:rPr>
      </w:pPr>
    </w:p>
    <w:p w14:paraId="69341475" w14:textId="5C1E671A" w:rsidR="00D05C67" w:rsidRPr="00BD050D" w:rsidRDefault="00D05C67" w:rsidP="00A82FAA">
      <w:pPr>
        <w:pStyle w:val="ReportBodyText"/>
        <w:spacing w:before="0" w:after="0"/>
        <w:ind w:left="450"/>
        <w:rPr>
          <w:rFonts w:asciiTheme="minorHAnsi" w:hAnsiTheme="minorHAnsi" w:cstheme="minorHAnsi"/>
          <w:sz w:val="24"/>
          <w:szCs w:val="24"/>
          <w:shd w:val="clear" w:color="auto" w:fill="FFFFFF"/>
        </w:rPr>
      </w:pPr>
      <w:r w:rsidRPr="00BD050D">
        <w:rPr>
          <w:rFonts w:asciiTheme="minorHAnsi" w:hAnsiTheme="minorHAnsi" w:cstheme="minorHAnsi"/>
          <w:b/>
          <w:bCs/>
          <w:sz w:val="24"/>
          <w:szCs w:val="24"/>
          <w:shd w:val="clear" w:color="auto" w:fill="FFFFFF"/>
        </w:rPr>
        <w:t>Trace Substances</w:t>
      </w:r>
      <w:r w:rsidRPr="00BD050D">
        <w:rPr>
          <w:rFonts w:asciiTheme="minorHAnsi" w:hAnsiTheme="minorHAnsi" w:cstheme="minorHAnsi"/>
          <w:sz w:val="24"/>
          <w:szCs w:val="24"/>
          <w:shd w:val="clear" w:color="auto" w:fill="FFFFFF"/>
        </w:rPr>
        <w:t xml:space="preserve">   - Substances that may be present in a mixture or formulation that are detectable but are not intentionally added or are present as a contaminant.  Amounts of trace elements in specifications are sometimes expressed as maximum values only. </w:t>
      </w:r>
    </w:p>
    <w:p w14:paraId="7522B86A" w14:textId="77777777" w:rsidR="00D05C67" w:rsidRPr="00BD050D" w:rsidRDefault="00D05C67" w:rsidP="00D05C67">
      <w:pPr>
        <w:pStyle w:val="ReportBodyText"/>
        <w:spacing w:before="0" w:after="0"/>
        <w:rPr>
          <w:rFonts w:asciiTheme="minorHAnsi" w:hAnsiTheme="minorHAnsi" w:cstheme="minorHAnsi"/>
          <w:b/>
          <w:bCs/>
          <w:sz w:val="24"/>
          <w:szCs w:val="24"/>
          <w:u w:val="single"/>
          <w:lang w:eastAsia="en-US"/>
        </w:rPr>
      </w:pPr>
    </w:p>
    <w:p w14:paraId="7556A38C" w14:textId="0E01C657" w:rsidR="00D05C67" w:rsidRPr="00BD050D" w:rsidRDefault="00D05C67" w:rsidP="00D05C67">
      <w:pPr>
        <w:pStyle w:val="ReportBodyText"/>
        <w:spacing w:before="0" w:after="0"/>
        <w:rPr>
          <w:rFonts w:asciiTheme="minorHAnsi" w:hAnsiTheme="minorHAnsi" w:cstheme="minorHAnsi"/>
          <w:b/>
          <w:bCs/>
          <w:sz w:val="24"/>
          <w:szCs w:val="24"/>
          <w:shd w:val="clear" w:color="auto" w:fill="FFFFFF"/>
        </w:rPr>
      </w:pPr>
      <w:proofErr w:type="gramStart"/>
      <w:r w:rsidRPr="00BD050D">
        <w:rPr>
          <w:rFonts w:asciiTheme="minorHAnsi" w:hAnsiTheme="minorHAnsi" w:cstheme="minorHAnsi"/>
          <w:b/>
          <w:bCs/>
          <w:sz w:val="24"/>
          <w:szCs w:val="24"/>
          <w:u w:val="single"/>
          <w:lang w:eastAsia="en-US"/>
        </w:rPr>
        <w:t>5.2  Regulatory</w:t>
      </w:r>
      <w:proofErr w:type="gramEnd"/>
      <w:r w:rsidRPr="00BD050D">
        <w:rPr>
          <w:rFonts w:asciiTheme="minorHAnsi" w:hAnsiTheme="minorHAnsi" w:cstheme="minorHAnsi"/>
          <w:b/>
          <w:bCs/>
          <w:sz w:val="24"/>
          <w:szCs w:val="24"/>
          <w:u w:val="single"/>
          <w:lang w:eastAsia="en-US"/>
        </w:rPr>
        <w:t xml:space="preserve"> Ref</w:t>
      </w:r>
      <w:r w:rsidRPr="00BD050D">
        <w:rPr>
          <w:rFonts w:asciiTheme="minorHAnsi" w:hAnsiTheme="minorHAnsi" w:cstheme="minorHAnsi"/>
          <w:b/>
          <w:bCs/>
          <w:sz w:val="24"/>
          <w:szCs w:val="24"/>
          <w:shd w:val="clear" w:color="auto" w:fill="FFFFFF"/>
        </w:rPr>
        <w:t>ere</w:t>
      </w:r>
      <w:r w:rsidRPr="00BD050D">
        <w:rPr>
          <w:rFonts w:asciiTheme="minorHAnsi" w:hAnsiTheme="minorHAnsi" w:cstheme="minorHAnsi"/>
          <w:b/>
          <w:bCs/>
          <w:sz w:val="24"/>
          <w:szCs w:val="24"/>
          <w:u w:val="single"/>
          <w:lang w:eastAsia="en-US"/>
        </w:rPr>
        <w:t>nces</w:t>
      </w:r>
    </w:p>
    <w:p w14:paraId="17CD173D" w14:textId="77777777" w:rsidR="00D05C67" w:rsidRPr="00BD050D" w:rsidRDefault="00D05C67" w:rsidP="00D05C67">
      <w:pPr>
        <w:pStyle w:val="ReportBodyText"/>
        <w:spacing w:before="0" w:after="0"/>
        <w:ind w:left="450"/>
        <w:rPr>
          <w:rFonts w:asciiTheme="minorHAnsi" w:hAnsiTheme="minorHAnsi" w:cstheme="minorHAnsi"/>
          <w:b/>
          <w:bCs/>
          <w:sz w:val="24"/>
          <w:szCs w:val="24"/>
          <w:lang w:eastAsia="en-US"/>
        </w:rPr>
      </w:pPr>
    </w:p>
    <w:p w14:paraId="32014FDC"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lang w:eastAsia="en-GB"/>
        </w:rPr>
      </w:pPr>
      <w:r w:rsidRPr="00BD050D">
        <w:rPr>
          <w:rFonts w:cstheme="minorHAnsi"/>
          <w:b/>
          <w:bCs/>
          <w:sz w:val="24"/>
          <w:szCs w:val="24"/>
        </w:rPr>
        <w:t xml:space="preserve">EU </w:t>
      </w:r>
      <w:r w:rsidRPr="00BD050D">
        <w:rPr>
          <w:rFonts w:cstheme="minorHAnsi"/>
          <w:b/>
          <w:bCs/>
          <w:sz w:val="24"/>
          <w:szCs w:val="24"/>
          <w:shd w:val="clear" w:color="auto" w:fill="FFFFFF"/>
          <w:lang w:eastAsia="en-GB"/>
        </w:rPr>
        <w:t>Registration, Evaluation, Authorisation and Restriction of Chemicals (</w:t>
      </w:r>
      <w:r w:rsidRPr="00BD050D">
        <w:rPr>
          <w:rFonts w:cstheme="minorHAnsi"/>
          <w:b/>
          <w:bCs/>
          <w:sz w:val="24"/>
          <w:szCs w:val="24"/>
        </w:rPr>
        <w:t xml:space="preserve">REACH) - </w:t>
      </w:r>
      <w:r w:rsidRPr="00BD050D">
        <w:rPr>
          <w:rFonts w:cstheme="minorHAnsi"/>
          <w:sz w:val="24"/>
          <w:szCs w:val="24"/>
          <w:shd w:val="clear" w:color="auto" w:fill="FFFFFF"/>
          <w:lang w:eastAsia="en-GB"/>
        </w:rPr>
        <w:t>Regulation (EC) No 1907/2006 of the European Parliament and of the Council of 18 December 2006.  REACH imposes market and use constraints and reporting requirements for substances, including those present in articles.</w:t>
      </w:r>
    </w:p>
    <w:p w14:paraId="77617672" w14:textId="77777777" w:rsidR="00D05C67" w:rsidRPr="00BD050D" w:rsidRDefault="00D05C67" w:rsidP="00D05C67">
      <w:pPr>
        <w:autoSpaceDE w:val="0"/>
        <w:autoSpaceDN w:val="0"/>
        <w:adjustRightInd w:val="0"/>
        <w:spacing w:before="0"/>
        <w:rPr>
          <w:rFonts w:cstheme="minorHAnsi"/>
          <w:b/>
          <w:bCs/>
          <w:sz w:val="24"/>
          <w:szCs w:val="24"/>
        </w:rPr>
      </w:pPr>
    </w:p>
    <w:p w14:paraId="7109F736"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rPr>
      </w:pPr>
      <w:r w:rsidRPr="00BD050D">
        <w:rPr>
          <w:rFonts w:cstheme="minorHAnsi"/>
          <w:b/>
          <w:bCs/>
          <w:sz w:val="24"/>
          <w:szCs w:val="24"/>
        </w:rPr>
        <w:t xml:space="preserve">EU Restriction of Hazardous Substances (ROHS) - </w:t>
      </w:r>
      <w:r w:rsidRPr="00BD050D">
        <w:rPr>
          <w:rFonts w:cstheme="minorHAnsi"/>
          <w:sz w:val="24"/>
          <w:szCs w:val="24"/>
          <w:shd w:val="clear" w:color="auto" w:fill="FFFFFF"/>
          <w:lang w:eastAsia="en-GB"/>
        </w:rPr>
        <w:t xml:space="preserve">Directive 2011/65/EU of the European Parliament and of the Council of 8 June 2011 on the restriction of the use </w:t>
      </w:r>
      <w:r w:rsidRPr="00BD050D">
        <w:rPr>
          <w:rFonts w:cstheme="minorHAnsi"/>
          <w:sz w:val="24"/>
          <w:szCs w:val="24"/>
          <w:shd w:val="clear" w:color="auto" w:fill="FFFFFF"/>
        </w:rPr>
        <w:t>of certain hazardous substances in electrical and electronic equipment</w:t>
      </w:r>
    </w:p>
    <w:p w14:paraId="265DBFF1"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rPr>
      </w:pPr>
    </w:p>
    <w:p w14:paraId="7599349F"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lang w:eastAsia="en-GB"/>
        </w:rPr>
      </w:pPr>
      <w:r w:rsidRPr="00BD050D">
        <w:rPr>
          <w:rFonts w:cstheme="minorHAnsi"/>
          <w:b/>
          <w:bCs/>
          <w:sz w:val="24"/>
          <w:szCs w:val="24"/>
          <w:shd w:val="clear" w:color="auto" w:fill="FFFFFF"/>
          <w:lang w:eastAsia="en-GB"/>
        </w:rPr>
        <w:t>EU Waste Framework Directive (WFD)</w:t>
      </w:r>
      <w:r w:rsidRPr="00BD050D">
        <w:rPr>
          <w:rFonts w:cstheme="minorHAnsi"/>
          <w:sz w:val="24"/>
          <w:szCs w:val="24"/>
          <w:shd w:val="clear" w:color="auto" w:fill="FFFFFF"/>
          <w:lang w:eastAsia="en-GB"/>
        </w:rPr>
        <w:t xml:space="preserve"> - Directive 2008/98/EC of 19 November 2008. The directive is concerned with measures to protect the environment and human health by preventing or reducing the adverse impacts of the generation and management of waste and by reducing overall impacts of resource use and improving the efficiency of such use.</w:t>
      </w:r>
    </w:p>
    <w:p w14:paraId="1184C12F"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rPr>
      </w:pPr>
    </w:p>
    <w:p w14:paraId="2CF3E0A6" w14:textId="77777777" w:rsidR="00D05C67" w:rsidRPr="00BD050D" w:rsidRDefault="00D05C67" w:rsidP="00D05C67">
      <w:pPr>
        <w:autoSpaceDE w:val="0"/>
        <w:autoSpaceDN w:val="0"/>
        <w:adjustRightInd w:val="0"/>
        <w:spacing w:before="0"/>
        <w:ind w:left="450"/>
        <w:rPr>
          <w:rFonts w:cstheme="minorHAnsi"/>
          <w:sz w:val="24"/>
          <w:szCs w:val="24"/>
          <w:shd w:val="clear" w:color="auto" w:fill="FFFFFF"/>
        </w:rPr>
      </w:pPr>
      <w:r w:rsidRPr="00BD050D">
        <w:rPr>
          <w:rFonts w:cstheme="minorHAnsi"/>
          <w:b/>
          <w:bCs/>
          <w:sz w:val="24"/>
          <w:szCs w:val="24"/>
          <w:shd w:val="clear" w:color="auto" w:fill="FFFFFF"/>
        </w:rPr>
        <w:t>EU Substance of Concern In articles as such or in complex objects (Products) (SCIP) Database</w:t>
      </w:r>
      <w:r w:rsidRPr="00BD050D">
        <w:rPr>
          <w:rFonts w:cstheme="minorHAnsi"/>
          <w:sz w:val="24"/>
          <w:szCs w:val="24"/>
          <w:shd w:val="clear" w:color="auto" w:fill="FFFFFF"/>
        </w:rPr>
        <w:t xml:space="preserve"> </w:t>
      </w:r>
      <w:r w:rsidRPr="00BD050D">
        <w:rPr>
          <w:rFonts w:cstheme="minorHAnsi"/>
          <w:sz w:val="24"/>
          <w:szCs w:val="24"/>
          <w:shd w:val="clear" w:color="auto" w:fill="FFFFFF"/>
          <w:lang w:eastAsia="en-GB"/>
        </w:rPr>
        <w:t>- The EU SCIP database is the database for information established under the Waste Framework Directive (WFD). The SCIP database ensures that the information on articles containing Candidate List substances is available throughout the whole lifecycle of products and materials, including at the waste stage. The information in the database is then made available to waste operators and consumers.</w:t>
      </w:r>
    </w:p>
    <w:p w14:paraId="3D9F6E1F" w14:textId="77777777" w:rsidR="00CD34E4" w:rsidRPr="00BD050D" w:rsidRDefault="00CD34E4" w:rsidP="002C2287">
      <w:pPr>
        <w:pStyle w:val="ReportBodyText"/>
        <w:spacing w:before="0" w:after="60"/>
        <w:ind w:left="270"/>
        <w:rPr>
          <w:rFonts w:asciiTheme="minorHAnsi" w:hAnsiTheme="minorHAnsi" w:cstheme="minorHAnsi"/>
          <w:sz w:val="24"/>
          <w:szCs w:val="24"/>
          <w:lang w:eastAsia="en-US"/>
        </w:rPr>
      </w:pPr>
    </w:p>
    <w:p w14:paraId="4B3566BF" w14:textId="77777777" w:rsidR="0018423D" w:rsidRPr="00BD050D" w:rsidRDefault="0018423D" w:rsidP="00946405">
      <w:pPr>
        <w:pStyle w:val="ReportBodyText"/>
        <w:spacing w:before="0" w:after="60"/>
        <w:rPr>
          <w:rFonts w:asciiTheme="minorHAnsi" w:hAnsiTheme="minorHAnsi" w:cstheme="minorHAnsi"/>
          <w:b/>
          <w:bCs/>
          <w:sz w:val="24"/>
          <w:szCs w:val="24"/>
          <w:u w:val="single"/>
          <w:lang w:eastAsia="en-US"/>
        </w:rPr>
      </w:pPr>
      <w:r w:rsidRPr="00BD050D">
        <w:rPr>
          <w:rFonts w:asciiTheme="minorHAnsi" w:hAnsiTheme="minorHAnsi" w:cstheme="minorHAnsi"/>
          <w:b/>
          <w:bCs/>
          <w:sz w:val="24"/>
          <w:szCs w:val="24"/>
          <w:u w:val="single"/>
          <w:lang w:eastAsia="en-US"/>
        </w:rPr>
        <w:t>Appendix</w:t>
      </w:r>
    </w:p>
    <w:p w14:paraId="4096704E" w14:textId="7AEBF854" w:rsidR="00FE390E" w:rsidRPr="00BD050D" w:rsidRDefault="00FE390E" w:rsidP="002C2287">
      <w:pPr>
        <w:pStyle w:val="ReportBodyText"/>
        <w:spacing w:before="0" w:after="60"/>
        <w:ind w:left="270"/>
        <w:rPr>
          <w:rFonts w:asciiTheme="minorHAnsi" w:eastAsia="Roboto" w:hAnsiTheme="minorHAnsi" w:cstheme="minorHAnsi"/>
          <w:sz w:val="24"/>
          <w:szCs w:val="24"/>
          <w:lang w:eastAsia="en-US"/>
        </w:rPr>
      </w:pPr>
    </w:p>
    <w:p w14:paraId="3434FC38" w14:textId="4AC4F446" w:rsidR="00E3611E" w:rsidRPr="00BD050D" w:rsidRDefault="00946405" w:rsidP="00E3611E">
      <w:pPr>
        <w:pStyle w:val="Default"/>
        <w:rPr>
          <w:rFonts w:asciiTheme="minorHAnsi" w:hAnsiTheme="minorHAnsi" w:cstheme="minorHAnsi"/>
          <w:b/>
          <w:bCs/>
          <w:color w:val="auto"/>
          <w:lang w:val="en-US"/>
        </w:rPr>
      </w:pPr>
      <w:r w:rsidRPr="00BD050D">
        <w:rPr>
          <w:rFonts w:asciiTheme="minorHAnsi" w:hAnsiTheme="minorHAnsi" w:cstheme="minorHAnsi"/>
          <w:b/>
          <w:bCs/>
          <w:color w:val="auto"/>
          <w:lang w:val="en-US"/>
        </w:rPr>
        <w:t>A.1</w:t>
      </w:r>
      <w:r w:rsidR="00E3611E" w:rsidRPr="00BD050D">
        <w:rPr>
          <w:rFonts w:asciiTheme="minorHAnsi" w:hAnsiTheme="minorHAnsi" w:cstheme="minorHAnsi"/>
          <w:b/>
          <w:bCs/>
          <w:color w:val="auto"/>
          <w:lang w:val="en-US"/>
        </w:rPr>
        <w:t xml:space="preserve"> IPC-1754 Features and Data Elements </w:t>
      </w:r>
    </w:p>
    <w:p w14:paraId="69DAA6F7" w14:textId="408B534D" w:rsidR="0001369B" w:rsidRPr="00BD050D" w:rsidRDefault="00E3611E" w:rsidP="00E3611E">
      <w:pPr>
        <w:rPr>
          <w:rFonts w:cstheme="minorHAnsi"/>
          <w:sz w:val="24"/>
          <w:szCs w:val="24"/>
        </w:rPr>
      </w:pPr>
      <w:r w:rsidRPr="00BD050D">
        <w:rPr>
          <w:rFonts w:cstheme="minorHAnsi"/>
          <w:sz w:val="24"/>
          <w:szCs w:val="24"/>
        </w:rPr>
        <w:t>IP</w:t>
      </w:r>
      <w:r w:rsidR="008371FA" w:rsidRPr="00BD050D">
        <w:rPr>
          <w:rFonts w:cstheme="minorHAnsi"/>
          <w:sz w:val="24"/>
          <w:szCs w:val="24"/>
        </w:rPr>
        <w:t>C-1</w:t>
      </w:r>
      <w:r w:rsidRPr="00BD050D">
        <w:rPr>
          <w:rFonts w:cstheme="minorHAnsi"/>
          <w:sz w:val="24"/>
          <w:szCs w:val="24"/>
        </w:rPr>
        <w:t xml:space="preserve">754 includes </w:t>
      </w:r>
      <w:proofErr w:type="gramStart"/>
      <w:r w:rsidRPr="00BD050D">
        <w:rPr>
          <w:rFonts w:cstheme="minorHAnsi"/>
          <w:sz w:val="24"/>
          <w:szCs w:val="24"/>
        </w:rPr>
        <w:t>a number of</w:t>
      </w:r>
      <w:proofErr w:type="gramEnd"/>
      <w:r w:rsidRPr="00BD050D">
        <w:rPr>
          <w:rFonts w:cstheme="minorHAnsi"/>
          <w:sz w:val="24"/>
          <w:szCs w:val="24"/>
        </w:rPr>
        <w:t xml:space="preserve"> features that support compliance assessment against a broad range of substance regulations and other uses such as obsolescence management. The standard specifies a data exchange format and rules for exchanging substance and material information.   </w:t>
      </w:r>
    </w:p>
    <w:p w14:paraId="23837B46" w14:textId="3AA0137A" w:rsidR="0001369B" w:rsidRPr="00BD050D" w:rsidRDefault="0001369B" w:rsidP="00E3611E">
      <w:pPr>
        <w:rPr>
          <w:rFonts w:cstheme="minorHAnsi"/>
          <w:b/>
          <w:bCs/>
          <w:sz w:val="24"/>
          <w:szCs w:val="24"/>
        </w:rPr>
      </w:pPr>
      <w:r w:rsidRPr="00BD050D">
        <w:rPr>
          <w:rFonts w:cstheme="minorHAnsi"/>
          <w:b/>
          <w:bCs/>
          <w:sz w:val="24"/>
          <w:szCs w:val="24"/>
        </w:rPr>
        <w:t>A1.1 - Declarable Substance List (DSL)</w:t>
      </w:r>
    </w:p>
    <w:p w14:paraId="65B8C72B" w14:textId="7396AE01" w:rsidR="0001369B" w:rsidRPr="00BD050D" w:rsidRDefault="0001369B" w:rsidP="00E3611E">
      <w:pPr>
        <w:rPr>
          <w:rFonts w:cstheme="minorHAnsi"/>
          <w:sz w:val="24"/>
          <w:szCs w:val="24"/>
        </w:rPr>
      </w:pPr>
      <w:r w:rsidRPr="00BD050D">
        <w:rPr>
          <w:rFonts w:cstheme="minorHAnsi"/>
          <w:sz w:val="24"/>
          <w:szCs w:val="24"/>
        </w:rPr>
        <w:t>Requestors of an IPC-1754 declaration can select one or more DSL</w:t>
      </w:r>
      <w:r w:rsidR="00EE03C2" w:rsidRPr="00BD050D">
        <w:rPr>
          <w:rFonts w:cstheme="minorHAnsi"/>
          <w:sz w:val="24"/>
          <w:szCs w:val="24"/>
        </w:rPr>
        <w:t xml:space="preserve">, by specific version, </w:t>
      </w:r>
      <w:r w:rsidRPr="00BD050D">
        <w:rPr>
          <w:rFonts w:cstheme="minorHAnsi"/>
          <w:sz w:val="24"/>
          <w:szCs w:val="24"/>
        </w:rPr>
        <w:t>to specifically request substances</w:t>
      </w:r>
      <w:r w:rsidR="00147844" w:rsidRPr="00BD050D">
        <w:rPr>
          <w:rFonts w:cstheme="minorHAnsi"/>
          <w:sz w:val="24"/>
          <w:szCs w:val="24"/>
        </w:rPr>
        <w:t xml:space="preserve"> or substance groups</w:t>
      </w:r>
      <w:r w:rsidRPr="00BD050D">
        <w:rPr>
          <w:rFonts w:cstheme="minorHAnsi"/>
          <w:sz w:val="24"/>
          <w:szCs w:val="24"/>
        </w:rPr>
        <w:t xml:space="preserve"> to be declared. This list may be based on a regulation such as REACH Candidate List, a unique list to a certain industry or to the requesting company.</w:t>
      </w:r>
    </w:p>
    <w:p w14:paraId="74FC5465" w14:textId="70C13512" w:rsidR="0001369B" w:rsidRPr="00BD050D" w:rsidRDefault="0001369B" w:rsidP="00E3611E">
      <w:pPr>
        <w:rPr>
          <w:rFonts w:cstheme="minorHAnsi"/>
          <w:b/>
          <w:bCs/>
          <w:sz w:val="24"/>
          <w:szCs w:val="24"/>
        </w:rPr>
      </w:pPr>
      <w:r w:rsidRPr="00BD050D">
        <w:rPr>
          <w:rFonts w:cstheme="minorHAnsi"/>
          <w:b/>
          <w:bCs/>
          <w:sz w:val="24"/>
          <w:szCs w:val="24"/>
        </w:rPr>
        <w:t>A1.2 - Query Lists</w:t>
      </w:r>
    </w:p>
    <w:p w14:paraId="76AD24C7" w14:textId="769E609C" w:rsidR="0001369B" w:rsidRPr="00BD050D" w:rsidRDefault="0001369B" w:rsidP="00E3611E">
      <w:pPr>
        <w:rPr>
          <w:rFonts w:cstheme="minorHAnsi"/>
          <w:sz w:val="24"/>
          <w:szCs w:val="24"/>
        </w:rPr>
      </w:pPr>
      <w:r w:rsidRPr="00BD050D">
        <w:rPr>
          <w:rFonts w:cstheme="minorHAnsi"/>
          <w:sz w:val="24"/>
          <w:szCs w:val="24"/>
        </w:rPr>
        <w:t xml:space="preserve">Requestors of an IPC-1754 declaration can </w:t>
      </w:r>
      <w:r w:rsidR="00B6057E" w:rsidRPr="00BD050D">
        <w:rPr>
          <w:rFonts w:cstheme="minorHAnsi"/>
          <w:sz w:val="24"/>
          <w:szCs w:val="24"/>
        </w:rPr>
        <w:t>specify</w:t>
      </w:r>
      <w:r w:rsidRPr="00BD050D">
        <w:rPr>
          <w:rFonts w:cstheme="minorHAnsi"/>
          <w:sz w:val="24"/>
          <w:szCs w:val="24"/>
        </w:rPr>
        <w:t xml:space="preserve"> a series of questions about your products depending on the regulatory or product risk concerns they might have. These questions can be asked as </w:t>
      </w:r>
      <w:r w:rsidR="00EE03C2" w:rsidRPr="00BD050D">
        <w:rPr>
          <w:rFonts w:cstheme="minorHAnsi"/>
          <w:sz w:val="24"/>
          <w:szCs w:val="24"/>
        </w:rPr>
        <w:t xml:space="preserve">a specific version of </w:t>
      </w:r>
      <w:r w:rsidRPr="00BD050D">
        <w:rPr>
          <w:rFonts w:cstheme="minorHAnsi"/>
          <w:sz w:val="24"/>
          <w:szCs w:val="24"/>
        </w:rPr>
        <w:t>one, or several query list</w:t>
      </w:r>
      <w:r w:rsidR="00EE03C2" w:rsidRPr="00BD050D">
        <w:rPr>
          <w:rFonts w:cstheme="minorHAnsi"/>
          <w:sz w:val="24"/>
          <w:szCs w:val="24"/>
        </w:rPr>
        <w:t xml:space="preserve">s. </w:t>
      </w:r>
      <w:r w:rsidR="008A5231" w:rsidRPr="00BD050D">
        <w:rPr>
          <w:rFonts w:cstheme="minorHAnsi"/>
          <w:sz w:val="24"/>
          <w:szCs w:val="24"/>
        </w:rPr>
        <w:t xml:space="preserve"> </w:t>
      </w:r>
      <w:r w:rsidR="00B6057E" w:rsidRPr="00BD050D">
        <w:rPr>
          <w:rFonts w:cstheme="minorHAnsi"/>
          <w:sz w:val="24"/>
          <w:szCs w:val="24"/>
        </w:rPr>
        <w:t>If the requestor does not specify a particular set of questions, a</w:t>
      </w:r>
      <w:r w:rsidR="008A5231" w:rsidRPr="00BD050D">
        <w:rPr>
          <w:rFonts w:cstheme="minorHAnsi"/>
          <w:sz w:val="24"/>
          <w:szCs w:val="24"/>
        </w:rPr>
        <w:t xml:space="preserve"> query list can be a single statement that declarable substances are present in the product or not. </w:t>
      </w:r>
    </w:p>
    <w:p w14:paraId="2F09AE5F" w14:textId="6150FA6B" w:rsidR="0001369B" w:rsidRPr="00BD050D" w:rsidRDefault="0001369B" w:rsidP="00E3611E">
      <w:pPr>
        <w:rPr>
          <w:rFonts w:cstheme="minorHAnsi"/>
          <w:b/>
          <w:bCs/>
          <w:sz w:val="24"/>
          <w:szCs w:val="24"/>
        </w:rPr>
      </w:pPr>
      <w:r w:rsidRPr="00BD050D">
        <w:rPr>
          <w:rFonts w:cstheme="minorHAnsi"/>
          <w:b/>
          <w:bCs/>
          <w:sz w:val="24"/>
          <w:szCs w:val="24"/>
        </w:rPr>
        <w:t>A1.3 - Material / Substance Use Descriptions</w:t>
      </w:r>
    </w:p>
    <w:p w14:paraId="6EC284DA" w14:textId="34ED3171" w:rsidR="00147844" w:rsidRPr="00BD050D" w:rsidRDefault="0001369B" w:rsidP="00E3611E">
      <w:pPr>
        <w:rPr>
          <w:rFonts w:cstheme="minorHAnsi"/>
          <w:sz w:val="24"/>
          <w:szCs w:val="24"/>
        </w:rPr>
      </w:pPr>
      <w:r w:rsidRPr="00BD050D">
        <w:rPr>
          <w:rFonts w:cstheme="minorHAnsi"/>
          <w:sz w:val="24"/>
          <w:szCs w:val="24"/>
        </w:rPr>
        <w:t>Depending o</w:t>
      </w:r>
      <w:r w:rsidR="00B74C93" w:rsidRPr="00BD050D">
        <w:rPr>
          <w:rFonts w:cstheme="minorHAnsi"/>
          <w:sz w:val="24"/>
          <w:szCs w:val="24"/>
        </w:rPr>
        <w:t>n</w:t>
      </w:r>
      <w:r w:rsidRPr="00BD050D">
        <w:rPr>
          <w:rFonts w:cstheme="minorHAnsi"/>
          <w:sz w:val="24"/>
          <w:szCs w:val="24"/>
        </w:rPr>
        <w:t xml:space="preserve"> the regulation</w:t>
      </w:r>
      <w:r w:rsidR="00B74C93" w:rsidRPr="00BD050D">
        <w:rPr>
          <w:rFonts w:cstheme="minorHAnsi"/>
          <w:sz w:val="24"/>
          <w:szCs w:val="24"/>
        </w:rPr>
        <w:t xml:space="preserve"> or requirement</w:t>
      </w:r>
      <w:r w:rsidRPr="00BD050D">
        <w:rPr>
          <w:rFonts w:cstheme="minorHAnsi"/>
          <w:sz w:val="24"/>
          <w:szCs w:val="24"/>
        </w:rPr>
        <w:t xml:space="preserve">, </w:t>
      </w:r>
      <w:r w:rsidR="00B74C93" w:rsidRPr="00BD050D">
        <w:rPr>
          <w:rFonts w:cstheme="minorHAnsi"/>
          <w:sz w:val="24"/>
          <w:szCs w:val="24"/>
        </w:rPr>
        <w:t>the requestor may ask for a declaration of the use for the materials or substances being declared. The list</w:t>
      </w:r>
      <w:r w:rsidR="00EE03C2" w:rsidRPr="00BD050D">
        <w:rPr>
          <w:rFonts w:cstheme="minorHAnsi"/>
          <w:sz w:val="24"/>
          <w:szCs w:val="24"/>
        </w:rPr>
        <w:t>s</w:t>
      </w:r>
      <w:r w:rsidR="00B74C93" w:rsidRPr="00BD050D">
        <w:rPr>
          <w:rFonts w:cstheme="minorHAnsi"/>
          <w:sz w:val="24"/>
          <w:szCs w:val="24"/>
        </w:rPr>
        <w:t xml:space="preserve"> of uses are often defined by the regulation but can be supplemented by the requestor</w:t>
      </w:r>
      <w:r w:rsidR="00EE03C2" w:rsidRPr="00BD050D">
        <w:rPr>
          <w:rFonts w:cstheme="minorHAnsi"/>
          <w:sz w:val="24"/>
          <w:szCs w:val="24"/>
        </w:rPr>
        <w:t>. Each list can change over time and may have specific versions</w:t>
      </w:r>
      <w:r w:rsidR="00B74C93" w:rsidRPr="00BD050D">
        <w:rPr>
          <w:rFonts w:cstheme="minorHAnsi"/>
          <w:sz w:val="24"/>
          <w:szCs w:val="24"/>
        </w:rPr>
        <w:t xml:space="preserve">. </w:t>
      </w:r>
    </w:p>
    <w:p w14:paraId="4FAA84BB" w14:textId="48D229E4" w:rsidR="00147844" w:rsidRPr="00BD050D" w:rsidRDefault="00147844" w:rsidP="00E3611E">
      <w:pPr>
        <w:rPr>
          <w:rFonts w:cstheme="minorHAnsi"/>
          <w:b/>
          <w:bCs/>
          <w:sz w:val="24"/>
          <w:szCs w:val="24"/>
        </w:rPr>
      </w:pPr>
      <w:r w:rsidRPr="00BD050D">
        <w:rPr>
          <w:rFonts w:cstheme="minorHAnsi"/>
          <w:b/>
          <w:bCs/>
          <w:sz w:val="24"/>
          <w:szCs w:val="24"/>
        </w:rPr>
        <w:t>A1.</w:t>
      </w:r>
      <w:r w:rsidR="005F4625" w:rsidRPr="00BD050D">
        <w:rPr>
          <w:rFonts w:cstheme="minorHAnsi"/>
          <w:b/>
          <w:bCs/>
          <w:sz w:val="24"/>
          <w:szCs w:val="24"/>
        </w:rPr>
        <w:t>4</w:t>
      </w:r>
      <w:r w:rsidRPr="00BD050D">
        <w:rPr>
          <w:rFonts w:cstheme="minorHAnsi"/>
          <w:b/>
          <w:bCs/>
          <w:sz w:val="24"/>
          <w:szCs w:val="24"/>
        </w:rPr>
        <w:t xml:space="preserve"> – Substance Groups</w:t>
      </w:r>
    </w:p>
    <w:p w14:paraId="4169C84A" w14:textId="0A8E7DC4" w:rsidR="00684281" w:rsidRPr="00BD050D" w:rsidRDefault="00147844" w:rsidP="00E3611E">
      <w:pPr>
        <w:rPr>
          <w:rFonts w:cstheme="minorHAnsi"/>
          <w:sz w:val="24"/>
          <w:szCs w:val="24"/>
        </w:rPr>
      </w:pPr>
      <w:r w:rsidRPr="00BD050D">
        <w:rPr>
          <w:rFonts w:cstheme="minorHAnsi"/>
          <w:sz w:val="24"/>
          <w:szCs w:val="24"/>
        </w:rPr>
        <w:t>Some substances may be identified in a regulation or by the DSL as a substance group to which the substance belongs. If a substance group listed in the DSL is present in the product at or above the applicable threshold level specified in the DSL, and the specific substance(s) in the product are not known, the substance group may be reported instead of the individual substance(s). The declaration should not report both the substance and the substance group as this will result in double reporting. However, if a substance belonging to a substance group(s) in the DSL is reported, the substance may be reported to belong to a substance group.</w:t>
      </w:r>
    </w:p>
    <w:p w14:paraId="4DC81926" w14:textId="00DC0CA8" w:rsidR="005F4625" w:rsidRPr="00BD050D" w:rsidRDefault="00684281" w:rsidP="00443D98">
      <w:pPr>
        <w:rPr>
          <w:rFonts w:cstheme="minorHAnsi"/>
          <w:sz w:val="24"/>
          <w:szCs w:val="24"/>
        </w:rPr>
      </w:pPr>
      <w:r w:rsidRPr="00BD050D">
        <w:rPr>
          <w:rFonts w:cstheme="minorHAnsi"/>
          <w:b/>
          <w:bCs/>
          <w:sz w:val="24"/>
          <w:szCs w:val="24"/>
          <w:u w:val="single"/>
        </w:rPr>
        <w:t>A1.</w:t>
      </w:r>
      <w:r w:rsidR="005F4625" w:rsidRPr="00BD050D">
        <w:rPr>
          <w:rFonts w:cstheme="minorHAnsi"/>
          <w:b/>
          <w:bCs/>
          <w:sz w:val="24"/>
          <w:szCs w:val="24"/>
          <w:u w:val="single"/>
        </w:rPr>
        <w:t>5</w:t>
      </w:r>
      <w:r w:rsidRPr="00BD050D">
        <w:rPr>
          <w:rFonts w:cstheme="minorHAnsi"/>
          <w:b/>
          <w:bCs/>
          <w:sz w:val="24"/>
          <w:szCs w:val="24"/>
          <w:u w:val="single"/>
        </w:rPr>
        <w:t xml:space="preserve"> - Reporting Exemptions</w:t>
      </w:r>
    </w:p>
    <w:p w14:paraId="2251C07C" w14:textId="41AABAAB" w:rsidR="00FB3C3B" w:rsidRPr="00BD050D" w:rsidRDefault="00FB3C3B" w:rsidP="00443D98">
      <w:pPr>
        <w:rPr>
          <w:rFonts w:cstheme="minorHAnsi"/>
          <w:sz w:val="24"/>
          <w:szCs w:val="24"/>
        </w:rPr>
      </w:pPr>
      <w:r w:rsidRPr="00BD050D">
        <w:rPr>
          <w:rFonts w:cstheme="minorHAnsi"/>
          <w:sz w:val="24"/>
          <w:szCs w:val="24"/>
        </w:rPr>
        <w:t>The RoHS Directive</w:t>
      </w:r>
      <w:r w:rsidR="00D744D5" w:rsidRPr="00BD050D">
        <w:rPr>
          <w:rFonts w:cstheme="minorHAnsi"/>
          <w:sz w:val="24"/>
          <w:szCs w:val="24"/>
        </w:rPr>
        <w:t>, REACH Annex XVII, End of Life Vehicle (ELV) and Biocide are examples of regulations</w:t>
      </w:r>
      <w:r w:rsidRPr="00BD050D">
        <w:rPr>
          <w:rFonts w:cstheme="minorHAnsi"/>
          <w:sz w:val="24"/>
          <w:szCs w:val="24"/>
        </w:rPr>
        <w:t xml:space="preserve"> </w:t>
      </w:r>
      <w:r w:rsidR="00D744D5" w:rsidRPr="00BD050D">
        <w:rPr>
          <w:rFonts w:cstheme="minorHAnsi"/>
          <w:sz w:val="24"/>
          <w:szCs w:val="24"/>
        </w:rPr>
        <w:t xml:space="preserve">that </w:t>
      </w:r>
      <w:r w:rsidRPr="00BD050D">
        <w:rPr>
          <w:rFonts w:cstheme="minorHAnsi"/>
          <w:sz w:val="24"/>
          <w:szCs w:val="24"/>
        </w:rPr>
        <w:t>allow for exemptions from restrictions under certain conditions</w:t>
      </w:r>
      <w:r w:rsidR="00D744D5" w:rsidRPr="00BD050D">
        <w:rPr>
          <w:rFonts w:cstheme="minorHAnsi"/>
          <w:sz w:val="24"/>
          <w:szCs w:val="24"/>
        </w:rPr>
        <w:t>.</w:t>
      </w:r>
    </w:p>
    <w:p w14:paraId="355212CA" w14:textId="77777777" w:rsidR="00FB3C3B" w:rsidRPr="00BD050D" w:rsidRDefault="00FB3C3B" w:rsidP="00FB3C3B">
      <w:pPr>
        <w:spacing w:before="0"/>
        <w:rPr>
          <w:rFonts w:cstheme="minorHAnsi"/>
          <w:sz w:val="24"/>
          <w:szCs w:val="24"/>
        </w:rPr>
      </w:pPr>
      <w:r w:rsidRPr="00BD050D">
        <w:rPr>
          <w:rFonts w:cstheme="minorHAnsi"/>
          <w:sz w:val="24"/>
          <w:szCs w:val="24"/>
        </w:rPr>
        <w:t xml:space="preserve">Exemptions are limited in time and reassessed on a regular basis, taking into </w:t>
      </w:r>
      <w:proofErr w:type="gramStart"/>
      <w:r w:rsidRPr="00BD050D">
        <w:rPr>
          <w:rFonts w:cstheme="minorHAnsi"/>
          <w:sz w:val="24"/>
          <w:szCs w:val="24"/>
        </w:rPr>
        <w:t>account</w:t>
      </w:r>
      <w:proofErr w:type="gramEnd"/>
    </w:p>
    <w:p w14:paraId="28A79CA3" w14:textId="77777777" w:rsidR="00FB3C3B" w:rsidRPr="00BD050D" w:rsidRDefault="00FB3C3B" w:rsidP="00FB3C3B">
      <w:pPr>
        <w:pStyle w:val="ListParagraph"/>
        <w:numPr>
          <w:ilvl w:val="0"/>
          <w:numId w:val="21"/>
        </w:numPr>
        <w:spacing w:before="0"/>
        <w:rPr>
          <w:rFonts w:cstheme="minorHAnsi"/>
          <w:sz w:val="24"/>
          <w:szCs w:val="24"/>
        </w:rPr>
      </w:pPr>
      <w:r w:rsidRPr="00BD050D">
        <w:rPr>
          <w:rFonts w:cstheme="minorHAnsi"/>
          <w:sz w:val="24"/>
          <w:szCs w:val="24"/>
        </w:rPr>
        <w:t>the availability, practicability and reliability of substitutes</w:t>
      </w:r>
    </w:p>
    <w:p w14:paraId="4130D71B" w14:textId="77777777" w:rsidR="00FB3C3B" w:rsidRPr="00BD050D" w:rsidRDefault="00FB3C3B" w:rsidP="00FB3C3B">
      <w:pPr>
        <w:pStyle w:val="ListParagraph"/>
        <w:numPr>
          <w:ilvl w:val="0"/>
          <w:numId w:val="21"/>
        </w:numPr>
        <w:spacing w:before="0"/>
        <w:rPr>
          <w:rFonts w:cstheme="minorHAnsi"/>
          <w:sz w:val="24"/>
          <w:szCs w:val="24"/>
        </w:rPr>
      </w:pPr>
      <w:r w:rsidRPr="00BD050D">
        <w:rPr>
          <w:rFonts w:cstheme="minorHAnsi"/>
          <w:sz w:val="24"/>
          <w:szCs w:val="24"/>
        </w:rPr>
        <w:t>the environmental, health and consumer safety impacts of substitution</w:t>
      </w:r>
    </w:p>
    <w:p w14:paraId="1DE367C1" w14:textId="77777777" w:rsidR="00D744D5" w:rsidRPr="00BD050D" w:rsidRDefault="00FB3C3B" w:rsidP="00FB3C3B">
      <w:pPr>
        <w:pStyle w:val="ListParagraph"/>
        <w:numPr>
          <w:ilvl w:val="0"/>
          <w:numId w:val="21"/>
        </w:numPr>
        <w:spacing w:before="0"/>
        <w:rPr>
          <w:rFonts w:cstheme="minorHAnsi"/>
          <w:sz w:val="24"/>
          <w:szCs w:val="24"/>
        </w:rPr>
      </w:pPr>
      <w:r w:rsidRPr="00BD050D">
        <w:rPr>
          <w:rFonts w:cstheme="minorHAnsi"/>
          <w:sz w:val="24"/>
          <w:szCs w:val="24"/>
        </w:rPr>
        <w:t>the socioeconomic impact of substitution</w:t>
      </w:r>
      <w:r w:rsidR="00D744D5" w:rsidRPr="00BD050D">
        <w:rPr>
          <w:rFonts w:cstheme="minorHAnsi"/>
          <w:sz w:val="24"/>
          <w:szCs w:val="24"/>
        </w:rPr>
        <w:t xml:space="preserve"> </w:t>
      </w:r>
    </w:p>
    <w:p w14:paraId="198E6FA7" w14:textId="0BAD996B" w:rsidR="00FB3C3B" w:rsidRPr="00BD050D" w:rsidRDefault="00FB3C3B" w:rsidP="00FB3C3B">
      <w:pPr>
        <w:pStyle w:val="ListParagraph"/>
        <w:numPr>
          <w:ilvl w:val="0"/>
          <w:numId w:val="21"/>
        </w:numPr>
        <w:spacing w:before="0"/>
        <w:rPr>
          <w:rFonts w:cstheme="minorHAnsi"/>
          <w:sz w:val="24"/>
          <w:szCs w:val="24"/>
        </w:rPr>
      </w:pPr>
      <w:r w:rsidRPr="00BD050D">
        <w:rPr>
          <w:rFonts w:cstheme="minorHAnsi"/>
          <w:sz w:val="24"/>
          <w:szCs w:val="24"/>
        </w:rPr>
        <w:t>any potential adverse impacts on innovation</w:t>
      </w:r>
    </w:p>
    <w:p w14:paraId="3C51B36C" w14:textId="177B8725" w:rsidR="00CA29AF" w:rsidRPr="00BD050D" w:rsidRDefault="00FB3C3B" w:rsidP="00443D98">
      <w:pPr>
        <w:spacing w:before="0"/>
        <w:rPr>
          <w:rFonts w:cstheme="minorHAnsi"/>
          <w:sz w:val="24"/>
          <w:szCs w:val="24"/>
        </w:rPr>
      </w:pPr>
      <w:r w:rsidRPr="00BD050D">
        <w:rPr>
          <w:rFonts w:cstheme="minorHAnsi"/>
          <w:sz w:val="24"/>
          <w:szCs w:val="24"/>
        </w:rPr>
        <w:t xml:space="preserve">Industry regularly applies for the renewal of exemptions or for additional applications </w:t>
      </w:r>
      <w:r w:rsidR="00D744D5" w:rsidRPr="00BD050D">
        <w:rPr>
          <w:rFonts w:cstheme="minorHAnsi"/>
          <w:sz w:val="24"/>
          <w:szCs w:val="24"/>
        </w:rPr>
        <w:t xml:space="preserve">to be </w:t>
      </w:r>
      <w:r w:rsidRPr="00BD050D">
        <w:rPr>
          <w:rFonts w:cstheme="minorHAnsi"/>
          <w:sz w:val="24"/>
          <w:szCs w:val="24"/>
        </w:rPr>
        <w:t xml:space="preserve">exempted from the </w:t>
      </w:r>
      <w:r w:rsidR="00D744D5" w:rsidRPr="00BD050D">
        <w:rPr>
          <w:rFonts w:cstheme="minorHAnsi"/>
          <w:sz w:val="24"/>
          <w:szCs w:val="24"/>
        </w:rPr>
        <w:t>regulation</w:t>
      </w:r>
      <w:r w:rsidRPr="00BD050D">
        <w:rPr>
          <w:rFonts w:cstheme="minorHAnsi"/>
          <w:sz w:val="24"/>
          <w:szCs w:val="24"/>
        </w:rPr>
        <w:t xml:space="preserve"> requirements. Each request must be evaluated, and when appropriate, an exemption is granted.</w:t>
      </w:r>
    </w:p>
    <w:p w14:paraId="0EDB8397" w14:textId="34324908" w:rsidR="00CA29AF" w:rsidRPr="00BD050D" w:rsidRDefault="00CA29AF" w:rsidP="00CA29AF">
      <w:pPr>
        <w:spacing w:after="240"/>
        <w:rPr>
          <w:rFonts w:cstheme="minorHAnsi"/>
          <w:b/>
          <w:bCs/>
          <w:sz w:val="24"/>
          <w:szCs w:val="24"/>
        </w:rPr>
      </w:pPr>
      <w:r w:rsidRPr="00BD050D">
        <w:rPr>
          <w:rFonts w:cstheme="minorHAnsi"/>
          <w:b/>
          <w:bCs/>
          <w:sz w:val="24"/>
          <w:szCs w:val="24"/>
        </w:rPr>
        <w:t>A1.</w:t>
      </w:r>
      <w:r w:rsidR="005F4625" w:rsidRPr="00BD050D">
        <w:rPr>
          <w:rFonts w:cstheme="minorHAnsi"/>
          <w:b/>
          <w:bCs/>
          <w:sz w:val="24"/>
          <w:szCs w:val="24"/>
        </w:rPr>
        <w:t>6</w:t>
      </w:r>
      <w:r w:rsidRPr="00BD050D">
        <w:rPr>
          <w:rFonts w:cstheme="minorHAnsi"/>
          <w:b/>
          <w:bCs/>
          <w:sz w:val="24"/>
          <w:szCs w:val="24"/>
        </w:rPr>
        <w:t xml:space="preserve"> </w:t>
      </w:r>
      <w:r w:rsidR="00443D98" w:rsidRPr="00BD050D">
        <w:rPr>
          <w:rFonts w:cstheme="minorHAnsi"/>
          <w:b/>
          <w:bCs/>
          <w:sz w:val="24"/>
          <w:szCs w:val="24"/>
        </w:rPr>
        <w:t xml:space="preserve">- </w:t>
      </w:r>
      <w:r w:rsidRPr="00BD050D">
        <w:rPr>
          <w:rFonts w:cstheme="minorHAnsi"/>
          <w:b/>
          <w:bCs/>
          <w:sz w:val="24"/>
          <w:szCs w:val="24"/>
        </w:rPr>
        <w:t>Product vs Subproduct</w:t>
      </w:r>
    </w:p>
    <w:p w14:paraId="553C852C" w14:textId="19C7E662" w:rsidR="00443D98" w:rsidRPr="00BD050D" w:rsidRDefault="00CA29AF" w:rsidP="00443D98">
      <w:pPr>
        <w:autoSpaceDE w:val="0"/>
        <w:autoSpaceDN w:val="0"/>
        <w:adjustRightInd w:val="0"/>
        <w:spacing w:before="0"/>
        <w:rPr>
          <w:rFonts w:cstheme="minorHAnsi"/>
          <w:sz w:val="24"/>
          <w:szCs w:val="24"/>
          <w:shd w:val="clear" w:color="auto" w:fill="FFFFFF"/>
          <w:lang w:eastAsia="en-GB"/>
        </w:rPr>
      </w:pPr>
      <w:r w:rsidRPr="00BD050D">
        <w:rPr>
          <w:rFonts w:cstheme="minorHAnsi"/>
          <w:sz w:val="24"/>
          <w:szCs w:val="24"/>
          <w:shd w:val="clear" w:color="auto" w:fill="FFFFFF"/>
          <w:lang w:eastAsia="en-GB"/>
        </w:rPr>
        <w:t xml:space="preserve">An important feature of the IPC-1754 data structure is the ability to take supplier product data, incorporate it with your product data and pass it all on to your customers. At each level in the supply chain, the data is considered, and declared as, ‘product’ data for that entity. To the next level in the supply chain, that same data is considered ‘subproduct’ to distinguish it from that entity’s own ‘product’ data within the IPC-1754 data structure.  When that entity makes a declaration to their customer, it all is treated as combined product data and the cycle continues through the supply chain to the final level. </w:t>
      </w:r>
    </w:p>
    <w:p w14:paraId="29840DF3" w14:textId="7DD6EB44" w:rsidR="00E3611E" w:rsidRPr="00BD050D" w:rsidRDefault="00946405" w:rsidP="00443D98">
      <w:pPr>
        <w:spacing w:line="360" w:lineRule="auto"/>
        <w:rPr>
          <w:rFonts w:cstheme="minorHAnsi"/>
          <w:b/>
          <w:sz w:val="24"/>
          <w:szCs w:val="24"/>
        </w:rPr>
      </w:pPr>
      <w:r w:rsidRPr="00BD050D">
        <w:rPr>
          <w:rFonts w:cstheme="minorHAnsi"/>
          <w:b/>
          <w:sz w:val="24"/>
          <w:szCs w:val="24"/>
        </w:rPr>
        <w:t>A1.</w:t>
      </w:r>
      <w:r w:rsidR="005F4625" w:rsidRPr="00BD050D">
        <w:rPr>
          <w:rFonts w:cstheme="minorHAnsi"/>
          <w:b/>
          <w:sz w:val="24"/>
          <w:szCs w:val="24"/>
        </w:rPr>
        <w:t>7</w:t>
      </w:r>
      <w:r w:rsidR="00443D98" w:rsidRPr="00BD050D">
        <w:rPr>
          <w:rFonts w:cstheme="minorHAnsi"/>
          <w:b/>
          <w:sz w:val="24"/>
          <w:szCs w:val="24"/>
        </w:rPr>
        <w:t xml:space="preserve">- </w:t>
      </w:r>
      <w:r w:rsidR="00B93D34" w:rsidRPr="00BD050D">
        <w:rPr>
          <w:rFonts w:cstheme="minorHAnsi"/>
          <w:b/>
          <w:sz w:val="24"/>
          <w:szCs w:val="24"/>
        </w:rPr>
        <w:t xml:space="preserve">Incomplete Declaration Information - </w:t>
      </w:r>
      <w:r w:rsidR="00E3611E" w:rsidRPr="00BD050D">
        <w:rPr>
          <w:rFonts w:cstheme="minorHAnsi"/>
          <w:b/>
          <w:sz w:val="24"/>
          <w:szCs w:val="24"/>
        </w:rPr>
        <w:t xml:space="preserve">Use of “Unknown” </w:t>
      </w:r>
    </w:p>
    <w:p w14:paraId="3F8C488A" w14:textId="637783A6" w:rsidR="00CA29AF" w:rsidRPr="00BD050D" w:rsidRDefault="00E3611E" w:rsidP="00E3611E">
      <w:pPr>
        <w:rPr>
          <w:rFonts w:cstheme="minorHAnsi"/>
          <w:sz w:val="24"/>
          <w:szCs w:val="24"/>
        </w:rPr>
      </w:pPr>
      <w:r w:rsidRPr="00BD050D">
        <w:rPr>
          <w:rFonts w:cstheme="minorHAnsi"/>
          <w:sz w:val="24"/>
          <w:szCs w:val="24"/>
        </w:rPr>
        <w:t xml:space="preserve">IPC-1754 was developed to be inclusive of various industries while allowing for suppliers to communicate data while a query or complex details concerning the material or substance is being obtained.  </w:t>
      </w:r>
      <w:proofErr w:type="gramStart"/>
      <w:r w:rsidRPr="00BD050D">
        <w:rPr>
          <w:rFonts w:cstheme="minorHAnsi"/>
          <w:sz w:val="24"/>
          <w:szCs w:val="24"/>
        </w:rPr>
        <w:t>Specifically</w:t>
      </w:r>
      <w:proofErr w:type="gramEnd"/>
      <w:r w:rsidRPr="00BD050D">
        <w:rPr>
          <w:rFonts w:cstheme="minorHAnsi"/>
          <w:sz w:val="24"/>
          <w:szCs w:val="24"/>
        </w:rPr>
        <w:t xml:space="preserve"> while the supplier is completing a declaration and the mass is “unknown” thereby notifying the requester that the information is still being developed and that follow-up may be needed. In this situation,</w:t>
      </w:r>
      <w:r w:rsidR="00B93D34" w:rsidRPr="00BD050D">
        <w:rPr>
          <w:rFonts w:cstheme="minorHAnsi"/>
          <w:sz w:val="24"/>
          <w:szCs w:val="24"/>
        </w:rPr>
        <w:t xml:space="preserve"> the expectation is that the use of unknown is </w:t>
      </w:r>
      <w:proofErr w:type="gramStart"/>
      <w:r w:rsidR="00B93D34" w:rsidRPr="00BD050D">
        <w:rPr>
          <w:rFonts w:cstheme="minorHAnsi"/>
          <w:sz w:val="24"/>
          <w:szCs w:val="24"/>
        </w:rPr>
        <w:t>temporary</w:t>
      </w:r>
      <w:proofErr w:type="gramEnd"/>
      <w:r w:rsidR="00B93D34" w:rsidRPr="00BD050D">
        <w:rPr>
          <w:rFonts w:cstheme="minorHAnsi"/>
          <w:sz w:val="24"/>
          <w:szCs w:val="24"/>
        </w:rPr>
        <w:t xml:space="preserve"> and that</w:t>
      </w:r>
      <w:r w:rsidRPr="00BD050D">
        <w:rPr>
          <w:rFonts w:cstheme="minorHAnsi"/>
          <w:sz w:val="24"/>
          <w:szCs w:val="24"/>
        </w:rPr>
        <w:t xml:space="preserve"> further business-to-business communication </w:t>
      </w:r>
      <w:r w:rsidR="00B93D34" w:rsidRPr="00BD050D">
        <w:rPr>
          <w:rFonts w:cstheme="minorHAnsi"/>
          <w:sz w:val="24"/>
          <w:szCs w:val="24"/>
        </w:rPr>
        <w:t>should</w:t>
      </w:r>
      <w:r w:rsidRPr="00BD050D">
        <w:rPr>
          <w:rFonts w:cstheme="minorHAnsi"/>
          <w:sz w:val="24"/>
          <w:szCs w:val="24"/>
        </w:rPr>
        <w:t xml:space="preserve"> be initiated by either requester or supplier to follow up on this additional information. </w:t>
      </w:r>
    </w:p>
    <w:p w14:paraId="7E24E3EA" w14:textId="390C868A" w:rsidR="00E3611E" w:rsidRPr="00BD050D" w:rsidRDefault="00946405" w:rsidP="00E3611E">
      <w:pPr>
        <w:rPr>
          <w:rFonts w:cstheme="minorHAnsi"/>
          <w:b/>
          <w:sz w:val="24"/>
          <w:szCs w:val="24"/>
        </w:rPr>
      </w:pPr>
      <w:r w:rsidRPr="00BD050D">
        <w:rPr>
          <w:rFonts w:cstheme="minorHAnsi"/>
          <w:b/>
          <w:sz w:val="24"/>
          <w:szCs w:val="24"/>
        </w:rPr>
        <w:t>A1.</w:t>
      </w:r>
      <w:r w:rsidR="005F4625" w:rsidRPr="00BD050D">
        <w:rPr>
          <w:rFonts w:cstheme="minorHAnsi"/>
          <w:b/>
          <w:sz w:val="24"/>
          <w:szCs w:val="24"/>
        </w:rPr>
        <w:t>8</w:t>
      </w:r>
      <w:r w:rsidR="00DD25D1" w:rsidRPr="00BD050D">
        <w:rPr>
          <w:rFonts w:cstheme="minorHAnsi"/>
          <w:b/>
          <w:sz w:val="24"/>
          <w:szCs w:val="24"/>
        </w:rPr>
        <w:t xml:space="preserve"> </w:t>
      </w:r>
      <w:r w:rsidR="00443D98" w:rsidRPr="00BD050D">
        <w:rPr>
          <w:rFonts w:cstheme="minorHAnsi"/>
          <w:b/>
          <w:sz w:val="24"/>
          <w:szCs w:val="24"/>
        </w:rPr>
        <w:t xml:space="preserve">- </w:t>
      </w:r>
      <w:r w:rsidR="00E3611E" w:rsidRPr="00BD050D">
        <w:rPr>
          <w:rFonts w:cstheme="minorHAnsi"/>
          <w:b/>
          <w:sz w:val="24"/>
          <w:szCs w:val="24"/>
        </w:rPr>
        <w:t xml:space="preserve">Full Substance </w:t>
      </w:r>
      <w:r w:rsidR="00EC2C1A" w:rsidRPr="00BD050D">
        <w:rPr>
          <w:rFonts w:cstheme="minorHAnsi"/>
          <w:b/>
          <w:sz w:val="24"/>
          <w:szCs w:val="24"/>
        </w:rPr>
        <w:t>Declaration</w:t>
      </w:r>
    </w:p>
    <w:p w14:paraId="6848934C" w14:textId="5858E971" w:rsidR="00E3611E" w:rsidRPr="00BD050D" w:rsidRDefault="00E3611E" w:rsidP="00E3611E">
      <w:pPr>
        <w:rPr>
          <w:rFonts w:cstheme="minorHAnsi"/>
          <w:i/>
          <w:iCs/>
          <w:sz w:val="24"/>
          <w:szCs w:val="24"/>
        </w:rPr>
      </w:pPr>
      <w:r w:rsidRPr="00BD050D">
        <w:rPr>
          <w:rFonts w:cstheme="minorHAnsi"/>
          <w:sz w:val="24"/>
          <w:szCs w:val="24"/>
        </w:rPr>
        <w:t>The intention of this guidance is to discuss how IPC-1754 can support the creation of a Full Substance Declaration (FSD), also known as a Full Substance Disclosure or a Full Material Declaration (FMD).</w:t>
      </w:r>
      <w:r w:rsidR="006F2E7D" w:rsidRPr="00BD050D">
        <w:rPr>
          <w:rFonts w:cstheme="minorHAnsi"/>
          <w:sz w:val="24"/>
          <w:szCs w:val="24"/>
        </w:rPr>
        <w:t xml:space="preserve"> </w:t>
      </w:r>
      <w:r w:rsidR="00DD25D1" w:rsidRPr="00BD050D">
        <w:rPr>
          <w:rFonts w:cstheme="minorHAnsi"/>
          <w:sz w:val="24"/>
          <w:szCs w:val="24"/>
        </w:rPr>
        <w:t xml:space="preserve"> M</w:t>
      </w:r>
      <w:r w:rsidR="006F2E7D" w:rsidRPr="00BD050D">
        <w:rPr>
          <w:rFonts w:cstheme="minorHAnsi"/>
          <w:sz w:val="24"/>
          <w:szCs w:val="24"/>
        </w:rPr>
        <w:t>ost solution providers provide the option to declare to a DSL or to provide all the substance information</w:t>
      </w:r>
      <w:r w:rsidR="003319B7" w:rsidRPr="00BD050D">
        <w:rPr>
          <w:rFonts w:cstheme="minorHAnsi"/>
          <w:sz w:val="24"/>
          <w:szCs w:val="24"/>
        </w:rPr>
        <w:t>.</w:t>
      </w:r>
    </w:p>
    <w:p w14:paraId="4347BE39" w14:textId="77777777" w:rsidR="00E3611E" w:rsidRPr="00BD050D" w:rsidRDefault="00E3611E" w:rsidP="00E3611E">
      <w:pPr>
        <w:rPr>
          <w:rFonts w:cstheme="minorHAnsi"/>
          <w:sz w:val="24"/>
          <w:szCs w:val="24"/>
        </w:rPr>
      </w:pPr>
      <w:r w:rsidRPr="00BD050D">
        <w:rPr>
          <w:rFonts w:cstheme="minorHAnsi"/>
          <w:sz w:val="24"/>
          <w:szCs w:val="24"/>
        </w:rPr>
        <w:t>It is important to note that the terms FMD and FSD are industry terms which have different interpretation by various industry groups, individual companies, and/or individuals themselves.  The rules by which these entities determine what is an acceptable FMD or FSD are up to those various entities and are not described in IPC-1754 or herein.</w:t>
      </w:r>
    </w:p>
    <w:p w14:paraId="325974F6" w14:textId="77777777" w:rsidR="00E3611E" w:rsidRPr="00BD050D" w:rsidRDefault="00E3611E" w:rsidP="00E3611E">
      <w:pPr>
        <w:rPr>
          <w:rFonts w:cstheme="minorHAnsi"/>
          <w:sz w:val="24"/>
          <w:szCs w:val="24"/>
        </w:rPr>
      </w:pPr>
      <w:r w:rsidRPr="00BD050D">
        <w:rPr>
          <w:rFonts w:cstheme="minorHAnsi"/>
          <w:sz w:val="24"/>
          <w:szCs w:val="24"/>
        </w:rPr>
        <w:t>Some features of a FSD include:</w:t>
      </w:r>
    </w:p>
    <w:p w14:paraId="219EB169" w14:textId="20EE913B" w:rsidR="00B93D34" w:rsidRPr="00BD050D" w:rsidRDefault="00B93D34" w:rsidP="00E3611E">
      <w:pPr>
        <w:pStyle w:val="ListParagraph"/>
        <w:numPr>
          <w:ilvl w:val="0"/>
          <w:numId w:val="10"/>
        </w:numPr>
        <w:ind w:left="630"/>
        <w:rPr>
          <w:rFonts w:cstheme="minorHAnsi"/>
          <w:sz w:val="24"/>
          <w:szCs w:val="24"/>
        </w:rPr>
      </w:pPr>
      <w:r w:rsidRPr="00BD050D">
        <w:rPr>
          <w:rFonts w:cstheme="minorHAnsi"/>
          <w:sz w:val="24"/>
          <w:szCs w:val="24"/>
        </w:rPr>
        <w:t xml:space="preserve">A FSD is only in effect when substances or materials are included that define the entire product or subproduct. </w:t>
      </w:r>
    </w:p>
    <w:p w14:paraId="7C620F98" w14:textId="4E2F8A5E" w:rsidR="00E3611E" w:rsidRPr="00BD050D" w:rsidRDefault="00E3611E" w:rsidP="00E3611E">
      <w:pPr>
        <w:pStyle w:val="ListParagraph"/>
        <w:numPr>
          <w:ilvl w:val="0"/>
          <w:numId w:val="10"/>
        </w:numPr>
        <w:ind w:left="630"/>
        <w:rPr>
          <w:rFonts w:cstheme="minorHAnsi"/>
          <w:sz w:val="24"/>
          <w:szCs w:val="24"/>
        </w:rPr>
      </w:pPr>
      <w:r w:rsidRPr="00BD050D">
        <w:rPr>
          <w:rFonts w:cstheme="minorHAnsi"/>
          <w:sz w:val="24"/>
          <w:szCs w:val="24"/>
        </w:rPr>
        <w:t xml:space="preserve">A FSD can cover substances and materials in a product and/or substance in </w:t>
      </w:r>
      <w:proofErr w:type="gramStart"/>
      <w:r w:rsidRPr="00BD050D">
        <w:rPr>
          <w:rFonts w:cstheme="minorHAnsi"/>
          <w:sz w:val="24"/>
          <w:szCs w:val="24"/>
        </w:rPr>
        <w:t>process</w:t>
      </w:r>
      <w:proofErr w:type="gramEnd"/>
    </w:p>
    <w:p w14:paraId="58FD3C85" w14:textId="79A31F4B" w:rsidR="00E3611E" w:rsidRPr="00BD050D" w:rsidRDefault="00950DE2" w:rsidP="00E3611E">
      <w:pPr>
        <w:pStyle w:val="ListParagraph"/>
        <w:numPr>
          <w:ilvl w:val="0"/>
          <w:numId w:val="10"/>
        </w:numPr>
        <w:ind w:left="630"/>
        <w:rPr>
          <w:rFonts w:cstheme="minorHAnsi"/>
          <w:sz w:val="24"/>
          <w:szCs w:val="24"/>
        </w:rPr>
      </w:pPr>
      <w:r w:rsidRPr="00BD050D">
        <w:rPr>
          <w:rFonts w:cstheme="minorHAnsi"/>
          <w:sz w:val="24"/>
          <w:szCs w:val="24"/>
        </w:rPr>
        <w:t xml:space="preserve">The </w:t>
      </w:r>
      <w:r w:rsidR="00E3611E" w:rsidRPr="00BD050D">
        <w:rPr>
          <w:rFonts w:cstheme="minorHAnsi"/>
          <w:sz w:val="24"/>
          <w:szCs w:val="24"/>
        </w:rPr>
        <w:t xml:space="preserve">FSD </w:t>
      </w:r>
      <w:r w:rsidRPr="00BD050D">
        <w:rPr>
          <w:rFonts w:cstheme="minorHAnsi"/>
          <w:sz w:val="24"/>
          <w:szCs w:val="24"/>
        </w:rPr>
        <w:t xml:space="preserve">flag is only </w:t>
      </w:r>
      <w:r w:rsidR="00E3611E" w:rsidRPr="00BD050D">
        <w:rPr>
          <w:rFonts w:cstheme="minorHAnsi"/>
          <w:sz w:val="24"/>
          <w:szCs w:val="24"/>
        </w:rPr>
        <w:t xml:space="preserve">used when </w:t>
      </w:r>
      <w:r w:rsidR="000D55E4" w:rsidRPr="00BD050D">
        <w:rPr>
          <w:rFonts w:cstheme="minorHAnsi"/>
          <w:sz w:val="24"/>
          <w:szCs w:val="24"/>
        </w:rPr>
        <w:t xml:space="preserve">declaring </w:t>
      </w:r>
      <w:r w:rsidR="00E3611E" w:rsidRPr="00BD050D">
        <w:rPr>
          <w:rFonts w:cstheme="minorHAnsi"/>
          <w:sz w:val="24"/>
          <w:szCs w:val="24"/>
        </w:rPr>
        <w:t xml:space="preserve">100% </w:t>
      </w:r>
      <w:r w:rsidR="000D55E4" w:rsidRPr="00BD050D">
        <w:rPr>
          <w:rFonts w:cstheme="minorHAnsi"/>
          <w:sz w:val="24"/>
          <w:szCs w:val="24"/>
        </w:rPr>
        <w:t xml:space="preserve">of the </w:t>
      </w:r>
      <w:r w:rsidR="00E3611E" w:rsidRPr="00BD050D">
        <w:rPr>
          <w:rFonts w:cstheme="minorHAnsi"/>
          <w:sz w:val="24"/>
          <w:szCs w:val="24"/>
        </w:rPr>
        <w:t>substance</w:t>
      </w:r>
      <w:r w:rsidR="000D55E4" w:rsidRPr="00BD050D">
        <w:rPr>
          <w:rFonts w:cstheme="minorHAnsi"/>
          <w:sz w:val="24"/>
          <w:szCs w:val="24"/>
        </w:rPr>
        <w:t>s</w:t>
      </w:r>
      <w:r w:rsidRPr="00BD050D">
        <w:rPr>
          <w:rFonts w:cstheme="minorHAnsi"/>
          <w:sz w:val="24"/>
          <w:szCs w:val="24"/>
        </w:rPr>
        <w:t xml:space="preserve">. When proprietary information is indicated in the declaration, the FSD flag cannot be used. </w:t>
      </w:r>
    </w:p>
    <w:p w14:paraId="48930F08" w14:textId="4422AE85" w:rsidR="004D7ADB" w:rsidRPr="00BD050D" w:rsidRDefault="000D55E4" w:rsidP="004D7ADB">
      <w:pPr>
        <w:pStyle w:val="ListParagraph"/>
        <w:numPr>
          <w:ilvl w:val="0"/>
          <w:numId w:val="10"/>
        </w:numPr>
        <w:ind w:left="630"/>
        <w:rPr>
          <w:rFonts w:cstheme="minorHAnsi"/>
          <w:sz w:val="24"/>
          <w:szCs w:val="24"/>
        </w:rPr>
      </w:pPr>
      <w:r w:rsidRPr="00BD050D">
        <w:rPr>
          <w:rFonts w:cstheme="minorHAnsi"/>
          <w:sz w:val="24"/>
          <w:szCs w:val="24"/>
        </w:rPr>
        <w:t>Trace substances</w:t>
      </w:r>
      <w:r w:rsidR="00751CF6" w:rsidRPr="00BD050D">
        <w:rPr>
          <w:rFonts w:cstheme="minorHAnsi"/>
          <w:sz w:val="24"/>
          <w:szCs w:val="24"/>
        </w:rPr>
        <w:t xml:space="preserve"> </w:t>
      </w:r>
      <w:r w:rsidRPr="00BD050D">
        <w:rPr>
          <w:rFonts w:cstheme="minorHAnsi"/>
          <w:sz w:val="24"/>
          <w:szCs w:val="24"/>
        </w:rPr>
        <w:t xml:space="preserve">may be excluded in the FSD. </w:t>
      </w:r>
    </w:p>
    <w:p w14:paraId="7DADAAC2" w14:textId="77777777" w:rsidR="00E3611E" w:rsidRPr="00BD050D" w:rsidRDefault="00E3611E" w:rsidP="002C2287">
      <w:pPr>
        <w:pStyle w:val="ReportBodyText"/>
        <w:spacing w:before="0" w:after="60"/>
        <w:ind w:left="270"/>
        <w:rPr>
          <w:rFonts w:asciiTheme="minorHAnsi" w:eastAsia="Roboto" w:hAnsiTheme="minorHAnsi" w:cstheme="minorHAnsi"/>
          <w:sz w:val="24"/>
          <w:szCs w:val="24"/>
          <w:lang w:eastAsia="en-US"/>
        </w:rPr>
      </w:pPr>
    </w:p>
    <w:p w14:paraId="76FCD6BC" w14:textId="0BF50EE3" w:rsidR="00096E59" w:rsidRPr="00BD050D" w:rsidRDefault="00443D98" w:rsidP="00147844">
      <w:pPr>
        <w:pStyle w:val="ReportBodyText"/>
        <w:spacing w:before="0" w:after="60"/>
        <w:rPr>
          <w:rFonts w:asciiTheme="minorHAnsi" w:eastAsia="Roboto" w:hAnsiTheme="minorHAnsi" w:cstheme="minorHAnsi"/>
          <w:b/>
          <w:bCs/>
          <w:sz w:val="24"/>
          <w:szCs w:val="24"/>
          <w:lang w:eastAsia="en-US"/>
        </w:rPr>
      </w:pPr>
      <w:bookmarkStart w:id="0" w:name="_Hlk92780288"/>
      <w:r w:rsidRPr="00BD050D">
        <w:rPr>
          <w:rFonts w:asciiTheme="minorHAnsi" w:eastAsia="Roboto" w:hAnsiTheme="minorHAnsi" w:cstheme="minorHAnsi"/>
          <w:b/>
          <w:bCs/>
          <w:sz w:val="24"/>
          <w:szCs w:val="24"/>
          <w:lang w:eastAsia="en-US"/>
        </w:rPr>
        <w:t>A1.9 - Request</w:t>
      </w:r>
      <w:r w:rsidR="00E011EC" w:rsidRPr="00BD050D">
        <w:rPr>
          <w:rFonts w:asciiTheme="minorHAnsi" w:eastAsia="Roboto" w:hAnsiTheme="minorHAnsi" w:cstheme="minorHAnsi"/>
          <w:b/>
          <w:bCs/>
          <w:sz w:val="24"/>
          <w:szCs w:val="24"/>
          <w:lang w:eastAsia="en-US"/>
        </w:rPr>
        <w:t>/Reply vs Distribute Declaration</w:t>
      </w:r>
      <w:r w:rsidR="0032707C" w:rsidRPr="00BD050D">
        <w:rPr>
          <w:rFonts w:asciiTheme="minorHAnsi" w:eastAsia="Roboto" w:hAnsiTheme="minorHAnsi" w:cstheme="minorHAnsi"/>
          <w:b/>
          <w:bCs/>
          <w:sz w:val="24"/>
          <w:szCs w:val="24"/>
          <w:lang w:eastAsia="en-US"/>
        </w:rPr>
        <w:t>s</w:t>
      </w:r>
      <w:bookmarkEnd w:id="0"/>
    </w:p>
    <w:p w14:paraId="364A9022" w14:textId="77777777" w:rsidR="00443D98" w:rsidRPr="00BD050D" w:rsidRDefault="00075CA7" w:rsidP="00443D98">
      <w:pPr>
        <w:spacing w:before="240"/>
        <w:rPr>
          <w:rFonts w:cstheme="minorHAnsi"/>
          <w:sz w:val="24"/>
          <w:szCs w:val="24"/>
        </w:rPr>
      </w:pPr>
      <w:r w:rsidRPr="00BD050D">
        <w:rPr>
          <w:rFonts w:cstheme="minorHAnsi"/>
          <w:b/>
          <w:bCs/>
          <w:sz w:val="24"/>
          <w:szCs w:val="24"/>
        </w:rPr>
        <w:t>Request/Reply</w:t>
      </w:r>
      <w:r w:rsidR="00EF7203" w:rsidRPr="00BD050D">
        <w:rPr>
          <w:rFonts w:cstheme="minorHAnsi"/>
          <w:sz w:val="24"/>
          <w:szCs w:val="24"/>
        </w:rPr>
        <w:t xml:space="preserve"> -</w:t>
      </w:r>
      <w:r w:rsidRPr="00BD050D">
        <w:rPr>
          <w:rFonts w:cstheme="minorHAnsi"/>
          <w:sz w:val="24"/>
          <w:szCs w:val="24"/>
        </w:rPr>
        <w:t> Requests for information can come from customers, regulators, non-governmental organizations (NGOs), or the public. The request may come in a pre-started IPC-1754 form or may be an email with specific information requested that can be included in the IPC-1754 requester section (requestor contact info, requester part number/description, DSL to be used, etc.). The information in the requester fields (Request) shall be included with the response (Reply). These fields contain information that the requester needs to be able to systematically tie the response to the request.</w:t>
      </w:r>
    </w:p>
    <w:p w14:paraId="66782CCC" w14:textId="763A5137" w:rsidR="00443D98" w:rsidRPr="00BD050D" w:rsidRDefault="00075CA7" w:rsidP="00443D98">
      <w:pPr>
        <w:spacing w:before="240"/>
        <w:rPr>
          <w:rFonts w:cstheme="minorHAnsi"/>
          <w:sz w:val="24"/>
          <w:szCs w:val="24"/>
        </w:rPr>
      </w:pPr>
      <w:r w:rsidRPr="00BD050D">
        <w:rPr>
          <w:rFonts w:cstheme="minorHAnsi"/>
          <w:sz w:val="24"/>
          <w:szCs w:val="24"/>
        </w:rPr>
        <w:br/>
      </w:r>
      <w:r w:rsidRPr="00BD050D">
        <w:rPr>
          <w:rFonts w:cstheme="minorHAnsi"/>
          <w:b/>
          <w:bCs/>
          <w:sz w:val="24"/>
          <w:szCs w:val="24"/>
        </w:rPr>
        <w:t>Distribute</w:t>
      </w:r>
      <w:r w:rsidRPr="00BD050D">
        <w:rPr>
          <w:rFonts w:cstheme="minorHAnsi"/>
          <w:sz w:val="24"/>
          <w:szCs w:val="24"/>
        </w:rPr>
        <w:t xml:space="preserve"> </w:t>
      </w:r>
      <w:r w:rsidR="00EF7203" w:rsidRPr="00BD050D">
        <w:rPr>
          <w:rFonts w:cstheme="minorHAnsi"/>
          <w:sz w:val="24"/>
          <w:szCs w:val="24"/>
        </w:rPr>
        <w:t>-</w:t>
      </w:r>
      <w:r w:rsidRPr="00BD050D">
        <w:rPr>
          <w:rFonts w:cstheme="minorHAnsi"/>
          <w:sz w:val="24"/>
          <w:szCs w:val="24"/>
        </w:rPr>
        <w:t> Another process of distributing the declaration information and the appropriate supplier information is to publish it for distribution. This most often will be accomplished by completing a declaration about the product or products in general</w:t>
      </w:r>
      <w:r w:rsidR="001E773C" w:rsidRPr="00BD050D">
        <w:rPr>
          <w:rFonts w:cstheme="minorHAnsi"/>
          <w:sz w:val="24"/>
          <w:szCs w:val="24"/>
        </w:rPr>
        <w:t xml:space="preserve"> </w:t>
      </w:r>
      <w:r w:rsidRPr="00BD050D">
        <w:rPr>
          <w:rFonts w:cstheme="minorHAnsi"/>
          <w:sz w:val="24"/>
          <w:szCs w:val="24"/>
        </w:rPr>
        <w:t>and having them available internally for submission to a requester when a request is received or making the IPC-1754 files available on a company website. In this process, Requestor information is not included, but all other information required shall be included in the declaration along with any other information the supplier would like to include.</w:t>
      </w:r>
    </w:p>
    <w:p w14:paraId="74569A1F" w14:textId="77777777" w:rsidR="00443D98" w:rsidRPr="00BD050D" w:rsidRDefault="00443D98" w:rsidP="00443D98">
      <w:pPr>
        <w:rPr>
          <w:rFonts w:cstheme="minorHAnsi"/>
          <w:sz w:val="24"/>
          <w:szCs w:val="24"/>
        </w:rPr>
      </w:pPr>
    </w:p>
    <w:p w14:paraId="4DD9FA29" w14:textId="4CB48D62" w:rsidR="00946405" w:rsidRPr="00BD050D" w:rsidRDefault="00946405" w:rsidP="00946405">
      <w:pPr>
        <w:rPr>
          <w:rFonts w:cstheme="minorHAnsi"/>
          <w:sz w:val="24"/>
          <w:szCs w:val="24"/>
        </w:rPr>
      </w:pPr>
      <w:r w:rsidRPr="00BD050D">
        <w:rPr>
          <w:rFonts w:cstheme="minorHAnsi"/>
          <w:b/>
          <w:bCs/>
          <w:sz w:val="24"/>
          <w:szCs w:val="24"/>
        </w:rPr>
        <w:t>A2 Substance in Process Declarations</w:t>
      </w:r>
    </w:p>
    <w:p w14:paraId="0F710098" w14:textId="4647A2B3" w:rsidR="00815976" w:rsidRPr="00BD050D" w:rsidRDefault="00815976" w:rsidP="00946405">
      <w:pPr>
        <w:rPr>
          <w:rFonts w:cstheme="minorHAnsi"/>
          <w:sz w:val="24"/>
          <w:szCs w:val="24"/>
        </w:rPr>
      </w:pPr>
      <w:r w:rsidRPr="00BD050D">
        <w:rPr>
          <w:rFonts w:cstheme="minorHAnsi"/>
          <w:sz w:val="24"/>
          <w:szCs w:val="24"/>
        </w:rPr>
        <w:t>Data declared by the many tiers/branches of suppliers for complex articles can provide information that can be used to efficiently share obsolescence notifications. This creates transparency to complex supplier interdependencies and enhances the ability to navigate the increasing global regulatory and obsolescence landscape.</w:t>
      </w:r>
    </w:p>
    <w:p w14:paraId="42218F1E" w14:textId="45399028" w:rsidR="00946405" w:rsidRPr="00BD050D" w:rsidRDefault="00946405" w:rsidP="00946405">
      <w:pPr>
        <w:rPr>
          <w:rFonts w:cstheme="minorHAnsi"/>
          <w:sz w:val="24"/>
          <w:szCs w:val="24"/>
        </w:rPr>
      </w:pPr>
      <w:r w:rsidRPr="00BD050D">
        <w:rPr>
          <w:rFonts w:cstheme="minorHAnsi"/>
          <w:sz w:val="24"/>
          <w:szCs w:val="24"/>
        </w:rPr>
        <w:t xml:space="preserve">Historically, material/substance declarations have focused on the content of the delivered </w:t>
      </w:r>
      <w:r w:rsidR="00815976" w:rsidRPr="00BD050D">
        <w:rPr>
          <w:rFonts w:cstheme="minorHAnsi"/>
          <w:sz w:val="24"/>
          <w:szCs w:val="24"/>
        </w:rPr>
        <w:t xml:space="preserve">product. </w:t>
      </w:r>
      <w:r w:rsidRPr="00BD050D">
        <w:rPr>
          <w:rFonts w:cstheme="minorHAnsi"/>
          <w:sz w:val="24"/>
          <w:szCs w:val="24"/>
        </w:rPr>
        <w:t xml:space="preserve">The ever-changing global regulatory landscape and the </w:t>
      </w:r>
      <w:r w:rsidR="008371FA" w:rsidRPr="00BD050D">
        <w:rPr>
          <w:rFonts w:cstheme="minorHAnsi"/>
          <w:sz w:val="24"/>
          <w:szCs w:val="24"/>
        </w:rPr>
        <w:t xml:space="preserve">proliferation </w:t>
      </w:r>
      <w:r w:rsidRPr="00BD050D">
        <w:rPr>
          <w:rFonts w:cstheme="minorHAnsi"/>
          <w:sz w:val="24"/>
          <w:szCs w:val="24"/>
        </w:rPr>
        <w:t>of substance use restrictions (</w:t>
      </w:r>
      <w:proofErr w:type="gramStart"/>
      <w:r w:rsidRPr="00BD050D">
        <w:rPr>
          <w:rFonts w:cstheme="minorHAnsi"/>
          <w:sz w:val="24"/>
          <w:szCs w:val="24"/>
        </w:rPr>
        <w:t>e.g.</w:t>
      </w:r>
      <w:proofErr w:type="gramEnd"/>
      <w:r w:rsidRPr="00BD050D">
        <w:rPr>
          <w:rFonts w:cstheme="minorHAnsi"/>
          <w:sz w:val="24"/>
          <w:szCs w:val="24"/>
        </w:rPr>
        <w:t xml:space="preserve"> EU REACH) have driven an increased activity in material obsolescence.   This creates greater risk to manufacturing, operation, maintenance and repair of products.  Some material suppliers/formulators have used the constriction of the marketplace as an opportunity to assess their business environment and in some cases, withdraw formulations from the market.  In many cases, these notifications are not received by all downstream users in time to test and qualify alternatives.  Depending upon timing and demanding performance requirements, mitigation can be expensive and disruptive.    </w:t>
      </w:r>
    </w:p>
    <w:p w14:paraId="1C7C45F8" w14:textId="77777777" w:rsidR="00946405" w:rsidRPr="00BD050D" w:rsidRDefault="00946405" w:rsidP="00946405">
      <w:pPr>
        <w:rPr>
          <w:rFonts w:cstheme="minorHAnsi"/>
          <w:sz w:val="24"/>
          <w:szCs w:val="24"/>
        </w:rPr>
      </w:pPr>
      <w:r w:rsidRPr="00BD050D">
        <w:rPr>
          <w:rFonts w:cstheme="minorHAnsi"/>
          <w:sz w:val="24"/>
          <w:szCs w:val="24"/>
        </w:rPr>
        <w:t xml:space="preserve">Recognizing the increasing risk to industry, IPC-1754 incorporates the capability to provide declaration of substances in processes.  It is not uncommon for substances used in processes to be reactive, evaporative or transformational and not remain as part of the delivered product. These process substances cannot be derived from the substances declared in product, making the visibility critical for global enterprises to identify and manage their substance related risks.  </w:t>
      </w:r>
    </w:p>
    <w:p w14:paraId="66950D4A" w14:textId="67D4BBF1" w:rsidR="00946405" w:rsidRPr="00BD050D" w:rsidRDefault="00946405" w:rsidP="00946405">
      <w:pPr>
        <w:rPr>
          <w:rFonts w:cstheme="minorHAnsi"/>
          <w:sz w:val="24"/>
          <w:szCs w:val="24"/>
        </w:rPr>
      </w:pPr>
      <w:r w:rsidRPr="00BD050D">
        <w:rPr>
          <w:rFonts w:cstheme="minorHAnsi"/>
          <w:sz w:val="24"/>
          <w:szCs w:val="24"/>
        </w:rPr>
        <w:t xml:space="preserve">Additionally, if the processor locations and substances are declared, companies can identify and mitigate potential risks to production, operations, maintenance, and/or repair.  If a supplier provides the formulation product name as part of the reported data, it is even possible to identify usage in the supply chain and share visibility of material obsolescence of explicitly identified formulations/products.  </w:t>
      </w:r>
    </w:p>
    <w:p w14:paraId="192DF5F8" w14:textId="77777777" w:rsidR="00F53382" w:rsidRPr="00BD050D" w:rsidRDefault="00F53382" w:rsidP="00E3611E">
      <w:pPr>
        <w:rPr>
          <w:rFonts w:cstheme="minorHAnsi"/>
          <w:b/>
          <w:sz w:val="24"/>
          <w:szCs w:val="24"/>
          <w:u w:val="single"/>
        </w:rPr>
      </w:pPr>
    </w:p>
    <w:p w14:paraId="5F0E76FA" w14:textId="650F4C9B" w:rsidR="00946405" w:rsidRPr="00BD050D" w:rsidRDefault="00946405" w:rsidP="00946405">
      <w:pPr>
        <w:rPr>
          <w:rFonts w:cstheme="minorHAnsi"/>
          <w:b/>
          <w:sz w:val="24"/>
          <w:szCs w:val="24"/>
        </w:rPr>
      </w:pPr>
      <w:r w:rsidRPr="00BD050D">
        <w:rPr>
          <w:rFonts w:cstheme="minorHAnsi"/>
          <w:b/>
          <w:sz w:val="24"/>
          <w:szCs w:val="24"/>
        </w:rPr>
        <w:t>A</w:t>
      </w:r>
      <w:r w:rsidR="00443D98" w:rsidRPr="00BD050D">
        <w:rPr>
          <w:rFonts w:cstheme="minorHAnsi"/>
          <w:b/>
          <w:sz w:val="24"/>
          <w:szCs w:val="24"/>
        </w:rPr>
        <w:t>3 Reporting</w:t>
      </w:r>
      <w:r w:rsidR="00E3611E" w:rsidRPr="00BD050D">
        <w:rPr>
          <w:rFonts w:cstheme="minorHAnsi"/>
          <w:b/>
          <w:sz w:val="24"/>
          <w:szCs w:val="24"/>
        </w:rPr>
        <w:t xml:space="preserve"> REACH SVHCs in a Declaration</w:t>
      </w:r>
      <w:r w:rsidR="00E3611E" w:rsidRPr="00BD050D" w:rsidDel="00977A40">
        <w:rPr>
          <w:rFonts w:cstheme="minorHAnsi"/>
          <w:b/>
          <w:sz w:val="24"/>
          <w:szCs w:val="24"/>
        </w:rPr>
        <w:t xml:space="preserve"> </w:t>
      </w:r>
    </w:p>
    <w:p w14:paraId="07B0CED8" w14:textId="4E2B8AF2" w:rsidR="0094538E" w:rsidRPr="00BD050D" w:rsidRDefault="00E3611E" w:rsidP="00946405">
      <w:pPr>
        <w:rPr>
          <w:rFonts w:cstheme="minorHAnsi"/>
          <w:sz w:val="24"/>
          <w:szCs w:val="24"/>
          <w:lang w:val="en-CA"/>
        </w:rPr>
      </w:pPr>
      <w:r w:rsidRPr="00BD050D">
        <w:rPr>
          <w:rFonts w:cstheme="minorHAnsi"/>
          <w:sz w:val="24"/>
          <w:szCs w:val="24"/>
        </w:rPr>
        <w:t>IPC-1754 provides a method for suppliers to declare articles in alignment with EU REACH 1907/2006 legislation, Article 3</w:t>
      </w:r>
      <w:r w:rsidR="00815976" w:rsidRPr="00BD050D">
        <w:rPr>
          <w:rFonts w:cstheme="minorHAnsi"/>
          <w:sz w:val="24"/>
          <w:szCs w:val="24"/>
        </w:rPr>
        <w:t>3</w:t>
      </w:r>
      <w:r w:rsidRPr="00BD050D">
        <w:rPr>
          <w:rFonts w:cstheme="minorHAnsi"/>
          <w:sz w:val="24"/>
          <w:szCs w:val="24"/>
        </w:rPr>
        <w:t>.  Articles may be materials</w:t>
      </w:r>
      <w:r w:rsidR="003F510C" w:rsidRPr="00BD050D">
        <w:rPr>
          <w:rFonts w:cstheme="minorHAnsi"/>
          <w:sz w:val="24"/>
          <w:szCs w:val="24"/>
        </w:rPr>
        <w:t>, subproducts</w:t>
      </w:r>
      <w:r w:rsidRPr="00BD050D">
        <w:rPr>
          <w:rFonts w:cstheme="minorHAnsi"/>
          <w:sz w:val="24"/>
          <w:szCs w:val="24"/>
        </w:rPr>
        <w:t xml:space="preserve"> or products. </w:t>
      </w:r>
      <w:r w:rsidR="00946405" w:rsidRPr="00BD050D">
        <w:rPr>
          <w:rFonts w:cstheme="minorHAnsi"/>
          <w:sz w:val="24"/>
          <w:szCs w:val="24"/>
          <w:lang w:val="en-CA"/>
        </w:rPr>
        <w:t xml:space="preserve">To provide this information in a material declaration, the substance and mass relative to the article needs to be provided.  </w:t>
      </w:r>
    </w:p>
    <w:p w14:paraId="688DE688" w14:textId="6256C9E6" w:rsidR="0094538E" w:rsidRPr="00BD050D" w:rsidRDefault="0094538E" w:rsidP="0094538E">
      <w:pPr>
        <w:rPr>
          <w:rFonts w:cstheme="minorHAnsi"/>
          <w:sz w:val="24"/>
          <w:szCs w:val="24"/>
          <w:lang w:val="en-CA"/>
        </w:rPr>
      </w:pPr>
      <w:r w:rsidRPr="00BD050D">
        <w:rPr>
          <w:rFonts w:cstheme="minorHAnsi"/>
          <w:sz w:val="24"/>
          <w:szCs w:val="24"/>
          <w:lang w:val="en-CA"/>
        </w:rPr>
        <w:t>The EU REACH regulation applies significant requirements on product manufacturers to identify substances of very high concern (SVHCs) listed on the REACH Candidate List that are present in their products. Following a European Court of Justice ruling, the European Chemical Agency (ECHA) published a guidance document clarifying that the threshold level for reporting the SVHC is 0.1% of the declarable article in a product</w:t>
      </w:r>
      <w:r w:rsidR="001F7258" w:rsidRPr="00BD050D">
        <w:rPr>
          <w:rFonts w:cstheme="minorHAnsi"/>
          <w:sz w:val="24"/>
          <w:szCs w:val="24"/>
          <w:lang w:val="en-CA"/>
        </w:rPr>
        <w:t xml:space="preserve">.  </w:t>
      </w:r>
      <w:r w:rsidRPr="00BD050D">
        <w:rPr>
          <w:rFonts w:cstheme="minorHAnsi"/>
          <w:sz w:val="24"/>
          <w:szCs w:val="24"/>
          <w:lang w:val="en-CA"/>
        </w:rPr>
        <w:t>According to the ECHA guidance, the declarable article is when a substance is applied such that an article is created and not based on a complex object</w:t>
      </w:r>
      <w:r w:rsidR="00C27DB3" w:rsidRPr="00BD050D">
        <w:rPr>
          <w:rFonts w:cstheme="minorHAnsi"/>
          <w:sz w:val="24"/>
          <w:szCs w:val="24"/>
          <w:lang w:val="en-CA"/>
        </w:rPr>
        <w:t xml:space="preserve"> or finished assembly</w:t>
      </w:r>
      <w:r w:rsidRPr="00BD050D">
        <w:rPr>
          <w:rFonts w:cstheme="minorHAnsi"/>
          <w:sz w:val="24"/>
          <w:szCs w:val="24"/>
          <w:lang w:val="en-CA"/>
        </w:rPr>
        <w:t xml:space="preserve"> that is made up of individual parts that are themselves articles. </w:t>
      </w:r>
    </w:p>
    <w:p w14:paraId="755CCB17" w14:textId="0A8DF78A" w:rsidR="00E3611E" w:rsidRPr="00BD050D" w:rsidRDefault="0094538E" w:rsidP="00E3611E">
      <w:pPr>
        <w:rPr>
          <w:rFonts w:cstheme="minorHAnsi"/>
          <w:sz w:val="24"/>
          <w:szCs w:val="24"/>
          <w:lang w:val="en-CA"/>
        </w:rPr>
      </w:pPr>
      <w:r w:rsidRPr="00BD050D">
        <w:rPr>
          <w:rFonts w:cstheme="minorHAnsi"/>
          <w:sz w:val="24"/>
          <w:szCs w:val="24"/>
          <w:lang w:val="en-CA"/>
        </w:rPr>
        <w:t xml:space="preserve">This creates challenges for product manufacturers and requires them to obtain additional information from their supply chain on whether a SVHC is present (above 0.1%) in the declarable article of which it is a constituent.  For compliance assessment, a key piece of information needed by downstream manufacturers is the mass percent of a SVHC in its declarable article. </w:t>
      </w:r>
      <w:r w:rsidR="00C27DB3" w:rsidRPr="00BD050D">
        <w:rPr>
          <w:rFonts w:cstheme="minorHAnsi"/>
          <w:sz w:val="24"/>
          <w:szCs w:val="24"/>
          <w:lang w:val="en-CA"/>
        </w:rPr>
        <w:t xml:space="preserve"> </w:t>
      </w:r>
      <w:r w:rsidR="00C27DB3" w:rsidRPr="00BD050D">
        <w:rPr>
          <w:rStyle w:val="CommentReference"/>
          <w:rFonts w:cstheme="minorHAnsi"/>
          <w:sz w:val="24"/>
          <w:szCs w:val="24"/>
        </w:rPr>
        <w:t xml:space="preserve">Similar to the ECHA guidance, </w:t>
      </w:r>
      <w:r w:rsidR="00C27DB3" w:rsidRPr="00BD050D">
        <w:rPr>
          <w:rFonts w:cstheme="minorHAnsi"/>
          <w:bCs/>
          <w:sz w:val="24"/>
          <w:szCs w:val="24"/>
        </w:rPr>
        <w:t>IAEG publication</w:t>
      </w:r>
      <w:hyperlink r:id="rId14" w:history="1">
        <w:r w:rsidR="00C27DB3" w:rsidRPr="00BD050D">
          <w:rPr>
            <w:rStyle w:val="Hyperlink"/>
            <w:rFonts w:cstheme="minorHAnsi"/>
            <w:bCs/>
            <w:color w:val="auto"/>
            <w:sz w:val="24"/>
            <w:szCs w:val="24"/>
          </w:rPr>
          <w:t xml:space="preserve"> Declaration Development Support Document</w:t>
        </w:r>
      </w:hyperlink>
      <w:r w:rsidR="00C27DB3" w:rsidRPr="00BD050D">
        <w:rPr>
          <w:rStyle w:val="CommentReference"/>
          <w:rFonts w:cstheme="minorHAnsi"/>
          <w:sz w:val="24"/>
          <w:szCs w:val="24"/>
        </w:rPr>
        <w:t xml:space="preserve"> includes examples of how to calculate mass percent of a substance using SDS, drawing or computer models and considerations for typical process or product uses.</w:t>
      </w:r>
    </w:p>
    <w:p w14:paraId="035E27DA" w14:textId="229C3E11" w:rsidR="00FE0DD1" w:rsidRPr="00BD050D" w:rsidRDefault="00FE0DD1" w:rsidP="00E3611E">
      <w:pPr>
        <w:rPr>
          <w:rFonts w:cstheme="minorHAnsi"/>
          <w:sz w:val="24"/>
          <w:szCs w:val="24"/>
          <w:lang w:val="en-CA"/>
        </w:rPr>
      </w:pPr>
    </w:p>
    <w:p w14:paraId="5F05E665" w14:textId="77777777" w:rsidR="00720A6B" w:rsidRPr="00BD050D" w:rsidRDefault="00720A6B" w:rsidP="00E3611E">
      <w:pPr>
        <w:rPr>
          <w:rFonts w:cstheme="minorHAnsi"/>
          <w:sz w:val="24"/>
          <w:szCs w:val="24"/>
          <w:lang w:val="en-CA"/>
        </w:rPr>
      </w:pPr>
    </w:p>
    <w:p w14:paraId="4A8DDC6B" w14:textId="7BFCED1E" w:rsidR="00E3611E" w:rsidRPr="00BD050D" w:rsidRDefault="00946405" w:rsidP="00E3611E">
      <w:pPr>
        <w:rPr>
          <w:rFonts w:cstheme="minorHAnsi"/>
          <w:b/>
          <w:sz w:val="24"/>
          <w:szCs w:val="24"/>
          <w:lang w:val="en-CA"/>
        </w:rPr>
      </w:pPr>
      <w:r w:rsidRPr="00BD050D">
        <w:rPr>
          <w:rFonts w:cstheme="minorHAnsi"/>
          <w:b/>
          <w:sz w:val="24"/>
          <w:szCs w:val="24"/>
          <w:lang w:val="en-CA"/>
        </w:rPr>
        <w:t>A3.1</w:t>
      </w:r>
      <w:r w:rsidR="00E3611E" w:rsidRPr="00BD050D">
        <w:rPr>
          <w:rFonts w:cstheme="minorHAnsi"/>
          <w:b/>
          <w:sz w:val="24"/>
          <w:szCs w:val="24"/>
          <w:lang w:val="en-CA"/>
        </w:rPr>
        <w:t xml:space="preserve"> </w:t>
      </w:r>
      <w:r w:rsidR="00FE0DD1" w:rsidRPr="00BD050D">
        <w:rPr>
          <w:rFonts w:cstheme="minorHAnsi"/>
          <w:b/>
          <w:sz w:val="24"/>
          <w:szCs w:val="24"/>
          <w:lang w:val="en-CA"/>
        </w:rPr>
        <w:t xml:space="preserve">- </w:t>
      </w:r>
      <w:r w:rsidR="00E3611E" w:rsidRPr="00BD050D">
        <w:rPr>
          <w:rFonts w:cstheme="minorHAnsi"/>
          <w:b/>
          <w:sz w:val="24"/>
          <w:szCs w:val="24"/>
          <w:lang w:val="en-CA"/>
        </w:rPr>
        <w:t>Using the IPC-1754 ‘is Article’ flag to support REACH SVHC assessment</w:t>
      </w:r>
    </w:p>
    <w:p w14:paraId="3F4DCFE9" w14:textId="302C8DB6" w:rsidR="00E3611E" w:rsidRPr="00BD050D" w:rsidRDefault="00E3611E" w:rsidP="00E3611E">
      <w:pPr>
        <w:rPr>
          <w:rFonts w:cstheme="minorHAnsi"/>
          <w:sz w:val="24"/>
          <w:szCs w:val="24"/>
          <w:lang w:val="en-CA"/>
        </w:rPr>
      </w:pPr>
      <w:r w:rsidRPr="00BD050D">
        <w:rPr>
          <w:rFonts w:cstheme="minorHAnsi"/>
          <w:sz w:val="24"/>
          <w:szCs w:val="24"/>
          <w:lang w:val="en-CA"/>
        </w:rPr>
        <w:t>The IPC-1754 declaration standard supports this information requirement by allowing materials and subproducts to be reported in the declaration. The data exchange format also provides an (</w:t>
      </w:r>
      <w:proofErr w:type="spellStart"/>
      <w:r w:rsidRPr="00BD050D">
        <w:rPr>
          <w:rFonts w:cstheme="minorHAnsi"/>
          <w:sz w:val="24"/>
          <w:szCs w:val="24"/>
          <w:lang w:val="en-CA"/>
        </w:rPr>
        <w:t>isArticle</w:t>
      </w:r>
      <w:proofErr w:type="spellEnd"/>
      <w:r w:rsidRPr="00BD050D">
        <w:rPr>
          <w:rFonts w:cstheme="minorHAnsi"/>
          <w:sz w:val="24"/>
          <w:szCs w:val="24"/>
          <w:lang w:val="en-CA"/>
        </w:rPr>
        <w:t>) flag for</w:t>
      </w:r>
      <w:r w:rsidR="002355BE" w:rsidRPr="00BD050D">
        <w:rPr>
          <w:rFonts w:cstheme="minorHAnsi"/>
          <w:sz w:val="24"/>
          <w:szCs w:val="24"/>
          <w:lang w:val="en-CA"/>
        </w:rPr>
        <w:t xml:space="preserve"> </w:t>
      </w:r>
      <w:r w:rsidRPr="00BD050D">
        <w:rPr>
          <w:rFonts w:cstheme="minorHAnsi"/>
          <w:sz w:val="24"/>
          <w:szCs w:val="24"/>
          <w:lang w:val="en-CA"/>
        </w:rPr>
        <w:t>materials, subproducts</w:t>
      </w:r>
      <w:r w:rsidR="002355BE" w:rsidRPr="00BD050D">
        <w:rPr>
          <w:rFonts w:cstheme="minorHAnsi"/>
          <w:sz w:val="24"/>
          <w:szCs w:val="24"/>
          <w:lang w:val="en-CA"/>
        </w:rPr>
        <w:t xml:space="preserve"> </w:t>
      </w:r>
      <w:r w:rsidRPr="00BD050D">
        <w:rPr>
          <w:rFonts w:cstheme="minorHAnsi"/>
          <w:sz w:val="24"/>
          <w:szCs w:val="24"/>
          <w:lang w:val="en-CA"/>
        </w:rPr>
        <w:t xml:space="preserve">and the product so that the supplier can identify any object in the declaration as to </w:t>
      </w:r>
      <w:proofErr w:type="gramStart"/>
      <w:r w:rsidRPr="00BD050D">
        <w:rPr>
          <w:rFonts w:cstheme="minorHAnsi"/>
          <w:sz w:val="24"/>
          <w:szCs w:val="24"/>
          <w:lang w:val="en-CA"/>
        </w:rPr>
        <w:t>whether or not</w:t>
      </w:r>
      <w:proofErr w:type="gramEnd"/>
      <w:r w:rsidRPr="00BD050D">
        <w:rPr>
          <w:rFonts w:cstheme="minorHAnsi"/>
          <w:sz w:val="24"/>
          <w:szCs w:val="24"/>
          <w:lang w:val="en-CA"/>
        </w:rPr>
        <w:t xml:space="preserve"> it is an article.  </w:t>
      </w:r>
    </w:p>
    <w:p w14:paraId="30A4D3C2" w14:textId="1CBCBFC0" w:rsidR="00F33604" w:rsidRPr="00BD050D" w:rsidRDefault="00FA2EC0" w:rsidP="00E3611E">
      <w:pPr>
        <w:rPr>
          <w:rFonts w:cstheme="minorHAnsi"/>
          <w:sz w:val="24"/>
          <w:szCs w:val="24"/>
          <w:lang w:val="en-CA"/>
        </w:rPr>
      </w:pPr>
      <w:r w:rsidRPr="00BD050D">
        <w:rPr>
          <w:rFonts w:cstheme="minorHAnsi"/>
          <w:sz w:val="24"/>
          <w:szCs w:val="24"/>
          <w:lang w:val="en-CA"/>
        </w:rPr>
        <w:t xml:space="preserve">If a material has a defined shape that makes it an article per the regulation, then this material </w:t>
      </w:r>
      <w:r w:rsidR="002355BE" w:rsidRPr="00BD050D">
        <w:rPr>
          <w:rFonts w:cstheme="minorHAnsi"/>
          <w:sz w:val="24"/>
          <w:szCs w:val="24"/>
          <w:lang w:val="en-CA"/>
        </w:rPr>
        <w:t>sh</w:t>
      </w:r>
      <w:r w:rsidRPr="00BD050D">
        <w:rPr>
          <w:rFonts w:cstheme="minorHAnsi"/>
          <w:sz w:val="24"/>
          <w:szCs w:val="24"/>
          <w:lang w:val="en-CA"/>
        </w:rPr>
        <w:t>ould be declared as a sub-product or a product</w:t>
      </w:r>
      <w:r w:rsidR="00D60F31" w:rsidRPr="00BD050D">
        <w:rPr>
          <w:rFonts w:cstheme="minorHAnsi"/>
          <w:sz w:val="24"/>
          <w:szCs w:val="24"/>
          <w:lang w:val="en-CA"/>
        </w:rPr>
        <w:t xml:space="preserve"> in addition to the material information. </w:t>
      </w:r>
    </w:p>
    <w:p w14:paraId="78F77865" w14:textId="3DF5F951" w:rsidR="00E3611E" w:rsidRPr="00BD050D" w:rsidRDefault="00946405" w:rsidP="00E3611E">
      <w:pPr>
        <w:rPr>
          <w:rFonts w:cstheme="minorHAnsi"/>
          <w:b/>
          <w:sz w:val="24"/>
          <w:szCs w:val="24"/>
          <w:lang w:val="en-CA"/>
        </w:rPr>
      </w:pPr>
      <w:r w:rsidRPr="00BD050D">
        <w:rPr>
          <w:rFonts w:cstheme="minorHAnsi"/>
          <w:b/>
          <w:sz w:val="24"/>
          <w:szCs w:val="24"/>
          <w:lang w:val="en-CA"/>
        </w:rPr>
        <w:t>A3.2</w:t>
      </w:r>
      <w:r w:rsidR="00FE0DD1" w:rsidRPr="00BD050D">
        <w:rPr>
          <w:rFonts w:cstheme="minorHAnsi"/>
          <w:b/>
          <w:sz w:val="24"/>
          <w:szCs w:val="24"/>
          <w:lang w:val="en-CA"/>
        </w:rPr>
        <w:t xml:space="preserve"> - </w:t>
      </w:r>
      <w:r w:rsidR="00E3611E" w:rsidRPr="00BD050D">
        <w:rPr>
          <w:rFonts w:cstheme="minorHAnsi"/>
          <w:b/>
          <w:sz w:val="24"/>
          <w:szCs w:val="24"/>
          <w:lang w:val="en-CA"/>
        </w:rPr>
        <w:t>Examples of a single SVHC in the product</w:t>
      </w:r>
    </w:p>
    <w:p w14:paraId="48D2C130" w14:textId="56EA0A7D" w:rsidR="00E3611E" w:rsidRPr="00BD050D" w:rsidRDefault="00E3611E" w:rsidP="00E3611E">
      <w:pPr>
        <w:rPr>
          <w:rFonts w:cstheme="minorHAnsi"/>
          <w:sz w:val="24"/>
          <w:szCs w:val="24"/>
          <w:lang w:val="en-CA"/>
        </w:rPr>
      </w:pPr>
      <w:r w:rsidRPr="00BD050D">
        <w:rPr>
          <w:rFonts w:cstheme="minorHAnsi"/>
          <w:sz w:val="24"/>
          <w:szCs w:val="24"/>
          <w:lang w:val="en-CA"/>
        </w:rPr>
        <w:t xml:space="preserve">Figure 1 illustrates a simple declaration hierarchy of an SVHC (S1) that is included in a material (M1) which is included in part (P1) (which is the </w:t>
      </w:r>
      <w:r w:rsidR="00470B65" w:rsidRPr="00BD050D">
        <w:rPr>
          <w:rFonts w:cstheme="minorHAnsi"/>
          <w:sz w:val="24"/>
          <w:szCs w:val="24"/>
          <w:lang w:val="en-CA"/>
        </w:rPr>
        <w:t xml:space="preserve">declarable </w:t>
      </w:r>
      <w:r w:rsidRPr="00BD050D">
        <w:rPr>
          <w:rFonts w:cstheme="minorHAnsi"/>
          <w:sz w:val="24"/>
          <w:szCs w:val="24"/>
          <w:lang w:val="en-CA"/>
        </w:rPr>
        <w:t xml:space="preserve">article). Material M1 is identified as not an article and subproduct P1 is identified as the </w:t>
      </w:r>
      <w:r w:rsidR="00470B65" w:rsidRPr="00BD050D">
        <w:rPr>
          <w:rFonts w:cstheme="minorHAnsi"/>
          <w:sz w:val="24"/>
          <w:szCs w:val="24"/>
          <w:lang w:val="en-CA"/>
        </w:rPr>
        <w:t>declarable</w:t>
      </w:r>
      <w:r w:rsidRPr="00BD050D">
        <w:rPr>
          <w:rFonts w:cstheme="minorHAnsi"/>
          <w:sz w:val="24"/>
          <w:szCs w:val="24"/>
          <w:lang w:val="en-CA"/>
        </w:rPr>
        <w:t xml:space="preserve"> article (</w:t>
      </w:r>
      <w:proofErr w:type="spellStart"/>
      <w:r w:rsidRPr="00BD050D">
        <w:rPr>
          <w:rFonts w:cstheme="minorHAnsi"/>
          <w:sz w:val="24"/>
          <w:szCs w:val="24"/>
          <w:lang w:val="en-CA"/>
        </w:rPr>
        <w:t>isArticle</w:t>
      </w:r>
      <w:proofErr w:type="spellEnd"/>
      <w:r w:rsidRPr="00BD050D">
        <w:rPr>
          <w:rFonts w:cstheme="minorHAnsi"/>
          <w:sz w:val="24"/>
          <w:szCs w:val="24"/>
          <w:lang w:val="en-CA"/>
        </w:rPr>
        <w:t>=True) therefore the recipient is able to calculate that the mass percent of S1 in the</w:t>
      </w:r>
      <w:r w:rsidR="00470B65" w:rsidRPr="00BD050D">
        <w:rPr>
          <w:rFonts w:cstheme="minorHAnsi"/>
          <w:sz w:val="24"/>
          <w:szCs w:val="24"/>
          <w:lang w:val="en-CA"/>
        </w:rPr>
        <w:t xml:space="preserve"> declarable</w:t>
      </w:r>
      <w:r w:rsidRPr="00BD050D">
        <w:rPr>
          <w:rFonts w:cstheme="minorHAnsi"/>
          <w:sz w:val="24"/>
          <w:szCs w:val="24"/>
          <w:lang w:val="en-CA"/>
        </w:rPr>
        <w:t xml:space="preserve"> article (P1) is 0.2g / 10g = 2% (which is above the 0.1% threshold that triggers the REACH communication requirements). In this example, the top-level product is a</w:t>
      </w:r>
      <w:r w:rsidR="00667B7B" w:rsidRPr="00BD050D">
        <w:rPr>
          <w:rFonts w:cstheme="minorHAnsi"/>
          <w:sz w:val="24"/>
          <w:szCs w:val="24"/>
          <w:lang w:val="en-CA"/>
        </w:rPr>
        <w:t>n</w:t>
      </w:r>
      <w:r w:rsidRPr="00BD050D">
        <w:rPr>
          <w:rFonts w:cstheme="minorHAnsi"/>
          <w:sz w:val="24"/>
          <w:szCs w:val="24"/>
          <w:lang w:val="en-CA"/>
        </w:rPr>
        <w:t xml:space="preserve"> article (sometimes referred to as a complex object) and therefore also has </w:t>
      </w:r>
      <w:proofErr w:type="spellStart"/>
      <w:r w:rsidRPr="00BD050D">
        <w:rPr>
          <w:rFonts w:cstheme="minorHAnsi"/>
          <w:sz w:val="24"/>
          <w:szCs w:val="24"/>
          <w:lang w:val="en-CA"/>
        </w:rPr>
        <w:t>isArticle</w:t>
      </w:r>
      <w:proofErr w:type="spellEnd"/>
      <w:r w:rsidRPr="00BD050D">
        <w:rPr>
          <w:rFonts w:cstheme="minorHAnsi"/>
          <w:sz w:val="24"/>
          <w:szCs w:val="24"/>
          <w:lang w:val="en-CA"/>
        </w:rPr>
        <w:t xml:space="preserve">=True. </w:t>
      </w:r>
    </w:p>
    <w:p w14:paraId="303CFA5D" w14:textId="3EDD9D58" w:rsidR="00E3611E" w:rsidRPr="00BD050D" w:rsidRDefault="00E3611E" w:rsidP="00E3611E">
      <w:pPr>
        <w:rPr>
          <w:rFonts w:cstheme="minorHAnsi"/>
          <w:sz w:val="24"/>
          <w:szCs w:val="24"/>
          <w:lang w:val="en-CA"/>
        </w:rPr>
      </w:pPr>
    </w:p>
    <w:p w14:paraId="2E5D84FF" w14:textId="475ACCF4" w:rsidR="00E3611E" w:rsidRPr="00BD050D" w:rsidRDefault="00E0043B" w:rsidP="00E3611E">
      <w:pPr>
        <w:rPr>
          <w:rFonts w:cstheme="minorHAnsi"/>
          <w:sz w:val="24"/>
          <w:szCs w:val="24"/>
          <w:lang w:val="en-CA"/>
        </w:rPr>
      </w:pPr>
      <w:r w:rsidRPr="00BD050D">
        <w:rPr>
          <w:rFonts w:cstheme="minorHAnsi"/>
          <w:noProof/>
          <w:sz w:val="24"/>
          <w:szCs w:val="24"/>
        </w:rPr>
        <w:drawing>
          <wp:anchor distT="0" distB="0" distL="114300" distR="114300" simplePos="0" relativeHeight="251671552" behindDoc="0" locked="0" layoutInCell="1" allowOverlap="1" wp14:anchorId="11F186A7" wp14:editId="0CCD8FF6">
            <wp:simplePos x="0" y="0"/>
            <wp:positionH relativeFrom="column">
              <wp:posOffset>1395730</wp:posOffset>
            </wp:positionH>
            <wp:positionV relativeFrom="paragraph">
              <wp:posOffset>10795</wp:posOffset>
            </wp:positionV>
            <wp:extent cx="3003550" cy="3625850"/>
            <wp:effectExtent l="0" t="38100" r="0" b="1079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57D65E52" w14:textId="77777777" w:rsidR="00946405" w:rsidRPr="00BD050D" w:rsidRDefault="00946405" w:rsidP="00E3611E">
      <w:pPr>
        <w:rPr>
          <w:rFonts w:cstheme="minorHAnsi"/>
          <w:sz w:val="24"/>
          <w:szCs w:val="24"/>
          <w:lang w:val="en-CA"/>
        </w:rPr>
      </w:pPr>
    </w:p>
    <w:p w14:paraId="0E5B6BF5" w14:textId="7543D5A9" w:rsidR="005766D4" w:rsidRPr="00BD050D" w:rsidRDefault="005766D4" w:rsidP="00E3611E">
      <w:pPr>
        <w:rPr>
          <w:rFonts w:cstheme="minorHAnsi"/>
          <w:sz w:val="24"/>
          <w:szCs w:val="24"/>
          <w:lang w:val="en-CA"/>
        </w:rPr>
      </w:pPr>
    </w:p>
    <w:p w14:paraId="4668BB6A" w14:textId="1218A0D3" w:rsidR="00E0043B" w:rsidRPr="00BD050D" w:rsidRDefault="00E0043B" w:rsidP="00E3611E">
      <w:pPr>
        <w:rPr>
          <w:rFonts w:cstheme="minorHAnsi"/>
          <w:sz w:val="24"/>
          <w:szCs w:val="24"/>
          <w:lang w:val="en-CA"/>
        </w:rPr>
      </w:pPr>
    </w:p>
    <w:p w14:paraId="55DE7D97" w14:textId="5384F9DF" w:rsidR="00E0043B" w:rsidRPr="00BD050D" w:rsidRDefault="00E0043B" w:rsidP="00E3611E">
      <w:pPr>
        <w:rPr>
          <w:rFonts w:cstheme="minorHAnsi"/>
          <w:sz w:val="24"/>
          <w:szCs w:val="24"/>
          <w:lang w:val="en-CA"/>
        </w:rPr>
      </w:pPr>
    </w:p>
    <w:p w14:paraId="2F72CF0F" w14:textId="627E2D44" w:rsidR="00E0043B" w:rsidRPr="00BD050D" w:rsidRDefault="00E0043B" w:rsidP="00E3611E">
      <w:pPr>
        <w:rPr>
          <w:rFonts w:cstheme="minorHAnsi"/>
          <w:sz w:val="24"/>
          <w:szCs w:val="24"/>
          <w:lang w:val="en-CA"/>
        </w:rPr>
      </w:pPr>
    </w:p>
    <w:p w14:paraId="1D9B7A19" w14:textId="70A7D63D" w:rsidR="00E0043B" w:rsidRPr="00BD050D" w:rsidRDefault="00E0043B" w:rsidP="00E3611E">
      <w:pPr>
        <w:rPr>
          <w:rFonts w:cstheme="minorHAnsi"/>
          <w:sz w:val="24"/>
          <w:szCs w:val="24"/>
          <w:lang w:val="en-CA"/>
        </w:rPr>
      </w:pPr>
    </w:p>
    <w:p w14:paraId="71D2D519" w14:textId="4046127F" w:rsidR="00E0043B" w:rsidRPr="00BD050D" w:rsidRDefault="00E0043B" w:rsidP="00E3611E">
      <w:pPr>
        <w:rPr>
          <w:rFonts w:cstheme="minorHAnsi"/>
          <w:sz w:val="24"/>
          <w:szCs w:val="24"/>
          <w:lang w:val="en-CA"/>
        </w:rPr>
      </w:pPr>
    </w:p>
    <w:p w14:paraId="5B407A10" w14:textId="53978F2E" w:rsidR="00E0043B" w:rsidRPr="00BD050D" w:rsidRDefault="00E0043B" w:rsidP="00E3611E">
      <w:pPr>
        <w:rPr>
          <w:rFonts w:cstheme="minorHAnsi"/>
          <w:sz w:val="24"/>
          <w:szCs w:val="24"/>
          <w:lang w:val="en-CA"/>
        </w:rPr>
      </w:pPr>
    </w:p>
    <w:p w14:paraId="785CA99B" w14:textId="15E38D9B" w:rsidR="00E0043B" w:rsidRPr="00BD050D" w:rsidRDefault="00E0043B" w:rsidP="00E3611E">
      <w:pPr>
        <w:rPr>
          <w:rFonts w:cstheme="minorHAnsi"/>
          <w:sz w:val="24"/>
          <w:szCs w:val="24"/>
          <w:lang w:val="en-CA"/>
        </w:rPr>
      </w:pPr>
    </w:p>
    <w:p w14:paraId="55BC352B" w14:textId="3050A5DD" w:rsidR="00E0043B" w:rsidRPr="00BD050D" w:rsidRDefault="00E0043B" w:rsidP="00E3611E">
      <w:pPr>
        <w:rPr>
          <w:rFonts w:cstheme="minorHAnsi"/>
          <w:sz w:val="24"/>
          <w:szCs w:val="24"/>
          <w:lang w:val="en-CA"/>
        </w:rPr>
      </w:pPr>
    </w:p>
    <w:p w14:paraId="20F7D0B3" w14:textId="5E0E2C75" w:rsidR="00E0043B" w:rsidRPr="00BD050D" w:rsidRDefault="00E0043B" w:rsidP="00E3611E">
      <w:pPr>
        <w:rPr>
          <w:rFonts w:cstheme="minorHAnsi"/>
          <w:sz w:val="24"/>
          <w:szCs w:val="24"/>
          <w:lang w:val="en-CA"/>
        </w:rPr>
      </w:pPr>
    </w:p>
    <w:p w14:paraId="60CC5EA4" w14:textId="1B57A720" w:rsidR="00E0043B" w:rsidRPr="00BD050D" w:rsidRDefault="00E0043B" w:rsidP="00E3611E">
      <w:pPr>
        <w:rPr>
          <w:rFonts w:cstheme="minorHAnsi"/>
          <w:sz w:val="24"/>
          <w:szCs w:val="24"/>
          <w:lang w:val="en-CA"/>
        </w:rPr>
      </w:pPr>
    </w:p>
    <w:p w14:paraId="0CB33F89" w14:textId="53991421" w:rsidR="00E0043B" w:rsidRPr="00BD050D" w:rsidRDefault="00E0043B" w:rsidP="00E3611E">
      <w:pPr>
        <w:rPr>
          <w:rFonts w:cstheme="minorHAnsi"/>
          <w:sz w:val="24"/>
          <w:szCs w:val="24"/>
          <w:lang w:val="en-CA"/>
        </w:rPr>
      </w:pPr>
    </w:p>
    <w:p w14:paraId="32A61A05" w14:textId="51021967" w:rsidR="00E0043B" w:rsidRPr="00BD050D" w:rsidRDefault="00E0043B" w:rsidP="00E3611E">
      <w:pPr>
        <w:rPr>
          <w:rFonts w:cstheme="minorHAnsi"/>
          <w:sz w:val="24"/>
          <w:szCs w:val="24"/>
          <w:lang w:val="en-CA"/>
        </w:rPr>
      </w:pPr>
      <w:r w:rsidRPr="00BD050D">
        <w:rPr>
          <w:rFonts w:cstheme="minorHAnsi"/>
          <w:noProof/>
          <w:sz w:val="24"/>
          <w:szCs w:val="24"/>
        </w:rPr>
        <mc:AlternateContent>
          <mc:Choice Requires="wps">
            <w:drawing>
              <wp:anchor distT="0" distB="0" distL="114300" distR="114300" simplePos="0" relativeHeight="251672576" behindDoc="0" locked="0" layoutInCell="1" allowOverlap="1" wp14:anchorId="34398022" wp14:editId="67768C54">
                <wp:simplePos x="0" y="0"/>
                <wp:positionH relativeFrom="column">
                  <wp:posOffset>914400</wp:posOffset>
                </wp:positionH>
                <wp:positionV relativeFrom="paragraph">
                  <wp:posOffset>118110</wp:posOffset>
                </wp:positionV>
                <wp:extent cx="4130040" cy="365760"/>
                <wp:effectExtent l="0" t="0" r="3810" b="0"/>
                <wp:wrapSquare wrapText="bothSides"/>
                <wp:docPr id="5" name="Text Box 5"/>
                <wp:cNvGraphicFramePr/>
                <a:graphic xmlns:a="http://schemas.openxmlformats.org/drawingml/2006/main">
                  <a:graphicData uri="http://schemas.microsoft.com/office/word/2010/wordprocessingShape">
                    <wps:wsp>
                      <wps:cNvSpPr txBox="1"/>
                      <wps:spPr>
                        <a:xfrm>
                          <a:off x="0" y="0"/>
                          <a:ext cx="4130040" cy="365760"/>
                        </a:xfrm>
                        <a:prstGeom prst="rect">
                          <a:avLst/>
                        </a:prstGeom>
                        <a:solidFill>
                          <a:prstClr val="white"/>
                        </a:solidFill>
                        <a:ln>
                          <a:noFill/>
                        </a:ln>
                      </wps:spPr>
                      <wps:txbx>
                        <w:txbxContent>
                          <w:p w14:paraId="2F62F4D7" w14:textId="5241BABE" w:rsidR="008D2B65" w:rsidRPr="00BD050D" w:rsidRDefault="008D2B65" w:rsidP="00E3611E">
                            <w:pPr>
                              <w:pStyle w:val="Caption"/>
                              <w:rPr>
                                <w:color w:val="auto"/>
                              </w:rPr>
                            </w:pPr>
                            <w:r w:rsidRPr="00BD050D">
                              <w:rPr>
                                <w:color w:val="auto"/>
                              </w:rPr>
                              <w:t xml:space="preserve">Figure </w:t>
                            </w:r>
                            <w:r w:rsidR="00E0043B" w:rsidRPr="00BD050D">
                              <w:rPr>
                                <w:color w:val="auto"/>
                              </w:rPr>
                              <w:t>1</w:t>
                            </w:r>
                            <w:r w:rsidRPr="00BD050D">
                              <w:rPr>
                                <w:color w:val="auto"/>
                              </w:rPr>
                              <w:t>: Simple example of a declaration with an SVHC in an article (subproduct)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98022" id="_x0000_t202" coordsize="21600,21600" o:spt="202" path="m,l,21600r21600,l21600,xe">
                <v:stroke joinstyle="miter"/>
                <v:path gradientshapeok="t" o:connecttype="rect"/>
              </v:shapetype>
              <v:shape id="Text Box 5" o:spid="_x0000_s1026" type="#_x0000_t202" style="position:absolute;margin-left:1in;margin-top:9.3pt;width:325.2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" stroked="f">
                <v:textbox inset="0,0,0,0">
                  <w:txbxContent>
                    <w:p w14:paraId="2F62F4D7" w14:textId="5241BABE" w:rsidR="008D2B65" w:rsidRPr="00BD050D" w:rsidRDefault="008D2B65" w:rsidP="00E3611E">
                      <w:pPr>
                        <w:pStyle w:val="Caption"/>
                        <w:rPr>
                          <w:color w:val="auto"/>
                        </w:rPr>
                      </w:pPr>
                      <w:r w:rsidRPr="00BD050D">
                        <w:rPr>
                          <w:color w:val="auto"/>
                        </w:rPr>
                        <w:t xml:space="preserve">Figure </w:t>
                      </w:r>
                      <w:r w:rsidR="00E0043B" w:rsidRPr="00BD050D">
                        <w:rPr>
                          <w:color w:val="auto"/>
                        </w:rPr>
                        <w:t>1</w:t>
                      </w:r>
                      <w:r w:rsidRPr="00BD050D">
                        <w:rPr>
                          <w:color w:val="auto"/>
                        </w:rPr>
                        <w:t>: Simple example of a declaration with an SVHC in an article (subproduct)</w:t>
                      </w:r>
                    </w:p>
                  </w:txbxContent>
                </v:textbox>
                <w10:wrap type="square"/>
              </v:shape>
            </w:pict>
          </mc:Fallback>
        </mc:AlternateContent>
      </w:r>
    </w:p>
    <w:p w14:paraId="3C7ABF75" w14:textId="77777777" w:rsidR="00E0043B" w:rsidRPr="00BD050D" w:rsidRDefault="00E0043B" w:rsidP="00E3611E">
      <w:pPr>
        <w:rPr>
          <w:rFonts w:cstheme="minorHAnsi"/>
          <w:sz w:val="24"/>
          <w:szCs w:val="24"/>
          <w:lang w:val="en-CA"/>
        </w:rPr>
      </w:pPr>
    </w:p>
    <w:p w14:paraId="0B2017CF" w14:textId="55273492" w:rsidR="00946405" w:rsidRDefault="00E3611E" w:rsidP="00E3611E">
      <w:pPr>
        <w:rPr>
          <w:rFonts w:cstheme="minorHAnsi"/>
          <w:sz w:val="24"/>
          <w:szCs w:val="24"/>
          <w:lang w:val="en-CA"/>
        </w:rPr>
      </w:pPr>
      <w:r w:rsidRPr="00BD050D">
        <w:rPr>
          <w:rFonts w:cstheme="minorHAnsi"/>
          <w:sz w:val="24"/>
          <w:szCs w:val="24"/>
          <w:lang w:val="en-CA"/>
        </w:rPr>
        <w:t xml:space="preserve">It’s up to the supplier that first incorporates an SVHC into an article to identify this to downstream manufacturers. </w:t>
      </w:r>
    </w:p>
    <w:p w14:paraId="5C189D14" w14:textId="374EF284" w:rsidR="00BD050D" w:rsidRDefault="00BD050D" w:rsidP="00E3611E">
      <w:pPr>
        <w:rPr>
          <w:rFonts w:cstheme="minorHAnsi"/>
          <w:sz w:val="24"/>
          <w:szCs w:val="24"/>
          <w:lang w:val="en-CA"/>
        </w:rPr>
      </w:pPr>
    </w:p>
    <w:p w14:paraId="6ABA7B28" w14:textId="77777777" w:rsidR="00BD050D" w:rsidRPr="00BD050D" w:rsidRDefault="00BD050D" w:rsidP="00E3611E">
      <w:pPr>
        <w:rPr>
          <w:rFonts w:cstheme="minorHAnsi"/>
          <w:sz w:val="24"/>
          <w:szCs w:val="24"/>
          <w:lang w:val="en-CA"/>
        </w:rPr>
      </w:pPr>
    </w:p>
    <w:p w14:paraId="7E87F284" w14:textId="2EB70BFD" w:rsidR="00E3611E" w:rsidRPr="00BD050D" w:rsidRDefault="00946405" w:rsidP="00E3611E">
      <w:pPr>
        <w:rPr>
          <w:rFonts w:cstheme="minorHAnsi"/>
          <w:b/>
          <w:sz w:val="24"/>
          <w:szCs w:val="24"/>
          <w:lang w:val="en-CA"/>
        </w:rPr>
      </w:pPr>
      <w:r w:rsidRPr="00BD050D">
        <w:rPr>
          <w:rFonts w:cstheme="minorHAnsi"/>
          <w:b/>
          <w:sz w:val="24"/>
          <w:szCs w:val="24"/>
          <w:lang w:val="en-CA"/>
        </w:rPr>
        <w:t>A3.3</w:t>
      </w:r>
      <w:r w:rsidR="00E3611E" w:rsidRPr="00BD050D">
        <w:rPr>
          <w:rFonts w:cstheme="minorHAnsi"/>
          <w:b/>
          <w:sz w:val="24"/>
          <w:szCs w:val="24"/>
          <w:lang w:val="en-CA"/>
        </w:rPr>
        <w:t xml:space="preserve"> </w:t>
      </w:r>
      <w:r w:rsidR="00FE0DD1" w:rsidRPr="00BD050D">
        <w:rPr>
          <w:rFonts w:cstheme="minorHAnsi"/>
          <w:b/>
          <w:sz w:val="24"/>
          <w:szCs w:val="24"/>
          <w:lang w:val="en-CA"/>
        </w:rPr>
        <w:t xml:space="preserve">- </w:t>
      </w:r>
      <w:r w:rsidR="00E3611E" w:rsidRPr="00BD050D">
        <w:rPr>
          <w:rFonts w:cstheme="minorHAnsi"/>
          <w:b/>
          <w:sz w:val="24"/>
          <w:szCs w:val="24"/>
          <w:lang w:val="en-CA"/>
        </w:rPr>
        <w:t>Multiple SVHCs added at different stages of manufacturing</w:t>
      </w:r>
    </w:p>
    <w:p w14:paraId="406FA87D" w14:textId="16EBBA64" w:rsidR="00E3611E" w:rsidRPr="00BD050D" w:rsidRDefault="00E3611E" w:rsidP="00E3611E">
      <w:pPr>
        <w:rPr>
          <w:rFonts w:cstheme="minorHAnsi"/>
          <w:sz w:val="24"/>
          <w:szCs w:val="24"/>
          <w:lang w:val="en-CA"/>
        </w:rPr>
      </w:pPr>
      <w:r w:rsidRPr="00BD050D">
        <w:rPr>
          <w:rFonts w:cstheme="minorHAnsi"/>
          <w:sz w:val="24"/>
          <w:szCs w:val="24"/>
          <w:lang w:val="en-CA"/>
        </w:rPr>
        <w:t xml:space="preserve">There may also be products that include more than one SVHC. In some cases, the SVHCs may be applied at different stages during manufacturing, resulting in a complicated declaration hierarchy. One such example is illustrated in Figure </w:t>
      </w:r>
      <w:r w:rsidR="00BD050D">
        <w:rPr>
          <w:rFonts w:cstheme="minorHAnsi"/>
          <w:sz w:val="24"/>
          <w:szCs w:val="24"/>
          <w:lang w:val="en-CA"/>
        </w:rPr>
        <w:t>2</w:t>
      </w:r>
      <w:r w:rsidRPr="00BD050D">
        <w:rPr>
          <w:rFonts w:cstheme="minorHAnsi"/>
          <w:sz w:val="24"/>
          <w:szCs w:val="24"/>
          <w:lang w:val="en-CA"/>
        </w:rPr>
        <w:t xml:space="preserve">. </w:t>
      </w:r>
    </w:p>
    <w:p w14:paraId="169FAB0A" w14:textId="77777777" w:rsidR="00E3611E" w:rsidRPr="00BD050D" w:rsidRDefault="00E3611E" w:rsidP="00E3611E">
      <w:pPr>
        <w:numPr>
          <w:ilvl w:val="0"/>
          <w:numId w:val="11"/>
        </w:numPr>
        <w:ind w:left="360"/>
        <w:rPr>
          <w:rFonts w:cstheme="minorHAnsi"/>
          <w:sz w:val="24"/>
          <w:szCs w:val="24"/>
          <w:lang w:val="en-CA"/>
        </w:rPr>
      </w:pPr>
      <w:r w:rsidRPr="00BD050D">
        <w:rPr>
          <w:rFonts w:cstheme="minorHAnsi"/>
          <w:sz w:val="24"/>
          <w:szCs w:val="24"/>
          <w:lang w:val="en-CA"/>
        </w:rPr>
        <w:t xml:space="preserve">The substance S1 (an SVHC) is included in a plating material (M1) which is applied to a lead frame (P1) which then becomes a plated lead frame (P2). </w:t>
      </w:r>
    </w:p>
    <w:p w14:paraId="06715A21" w14:textId="5F37B169" w:rsidR="00E3611E" w:rsidRPr="00BD050D" w:rsidRDefault="00E3611E" w:rsidP="00E3611E">
      <w:pPr>
        <w:ind w:left="360"/>
        <w:rPr>
          <w:rFonts w:cstheme="minorHAnsi"/>
          <w:sz w:val="24"/>
          <w:szCs w:val="24"/>
          <w:lang w:val="en-CA"/>
        </w:rPr>
      </w:pPr>
      <w:r w:rsidRPr="00BD050D">
        <w:rPr>
          <w:rFonts w:cstheme="minorHAnsi"/>
          <w:sz w:val="24"/>
          <w:szCs w:val="24"/>
          <w:lang w:val="en-CA"/>
        </w:rPr>
        <w:t xml:space="preserve">P2 is the </w:t>
      </w:r>
      <w:r w:rsidR="00FE2A87" w:rsidRPr="00BD050D">
        <w:rPr>
          <w:rFonts w:cstheme="minorHAnsi"/>
          <w:sz w:val="24"/>
          <w:szCs w:val="24"/>
          <w:lang w:val="en-CA"/>
        </w:rPr>
        <w:t xml:space="preserve">declarable </w:t>
      </w:r>
      <w:r w:rsidRPr="00BD050D">
        <w:rPr>
          <w:rFonts w:cstheme="minorHAnsi"/>
          <w:sz w:val="24"/>
          <w:szCs w:val="24"/>
          <w:lang w:val="en-CA"/>
        </w:rPr>
        <w:t xml:space="preserve">article that includes S1, therefore the mass % of S1 in an article is the (mass of S1) / (mass of P2). </w:t>
      </w:r>
    </w:p>
    <w:p w14:paraId="459B6001" w14:textId="77777777" w:rsidR="00E3611E" w:rsidRPr="00BD050D" w:rsidRDefault="00E3611E" w:rsidP="00E3611E">
      <w:pPr>
        <w:ind w:left="360"/>
        <w:rPr>
          <w:rFonts w:cstheme="minorHAnsi"/>
          <w:sz w:val="24"/>
          <w:szCs w:val="24"/>
          <w:lang w:val="en-CA"/>
        </w:rPr>
      </w:pPr>
      <w:r w:rsidRPr="00BD050D">
        <w:rPr>
          <w:rFonts w:cstheme="minorHAnsi"/>
          <w:sz w:val="24"/>
          <w:szCs w:val="24"/>
          <w:lang w:val="en-CA"/>
        </w:rPr>
        <w:t xml:space="preserve">If this mass % is above 0.1%, then S1 has REACH obligations. </w:t>
      </w:r>
    </w:p>
    <w:p w14:paraId="74BEF328" w14:textId="77777777" w:rsidR="00E3611E" w:rsidRPr="00BD050D" w:rsidRDefault="00E3611E" w:rsidP="00E3611E">
      <w:pPr>
        <w:numPr>
          <w:ilvl w:val="0"/>
          <w:numId w:val="11"/>
        </w:numPr>
        <w:ind w:left="360"/>
        <w:rPr>
          <w:rFonts w:cstheme="minorHAnsi"/>
          <w:sz w:val="24"/>
          <w:szCs w:val="24"/>
          <w:lang w:val="en-CA"/>
        </w:rPr>
      </w:pPr>
      <w:r w:rsidRPr="00BD050D">
        <w:rPr>
          <w:rFonts w:cstheme="minorHAnsi"/>
          <w:sz w:val="24"/>
          <w:szCs w:val="24"/>
          <w:lang w:val="en-CA"/>
        </w:rPr>
        <w:t xml:space="preserve">The substance S2 (another SVHC) is a constituent of die attach material that is applied to the die (P3) and the plated lead frame (P2) to become the die assembly (P4).  </w:t>
      </w:r>
    </w:p>
    <w:p w14:paraId="5C833BD7" w14:textId="72571B02" w:rsidR="00E3611E" w:rsidRPr="00BD050D" w:rsidRDefault="00E3611E" w:rsidP="00E3611E">
      <w:pPr>
        <w:ind w:left="360"/>
        <w:rPr>
          <w:rFonts w:cstheme="minorHAnsi"/>
          <w:sz w:val="24"/>
          <w:szCs w:val="24"/>
          <w:lang w:val="en-CA"/>
        </w:rPr>
      </w:pPr>
      <w:r w:rsidRPr="00BD050D">
        <w:rPr>
          <w:rFonts w:cstheme="minorHAnsi"/>
          <w:sz w:val="24"/>
          <w:szCs w:val="24"/>
          <w:lang w:val="en-CA"/>
        </w:rPr>
        <w:t xml:space="preserve">In this case, P4 is the </w:t>
      </w:r>
      <w:r w:rsidR="00FE2A87" w:rsidRPr="00BD050D">
        <w:rPr>
          <w:rFonts w:cstheme="minorHAnsi"/>
          <w:sz w:val="24"/>
          <w:szCs w:val="24"/>
          <w:lang w:val="en-CA"/>
        </w:rPr>
        <w:t>declarable</w:t>
      </w:r>
      <w:r w:rsidRPr="00BD050D">
        <w:rPr>
          <w:rFonts w:cstheme="minorHAnsi"/>
          <w:sz w:val="24"/>
          <w:szCs w:val="24"/>
          <w:lang w:val="en-CA"/>
        </w:rPr>
        <w:t xml:space="preserve"> article for substance S2 and is used as the basis of the mass % calculation to compare to 0.1%.  </w:t>
      </w:r>
    </w:p>
    <w:p w14:paraId="319BA01E" w14:textId="35E23DA7" w:rsidR="00E3611E" w:rsidRPr="00BD050D" w:rsidRDefault="00E3611E" w:rsidP="00E3611E">
      <w:pPr>
        <w:numPr>
          <w:ilvl w:val="0"/>
          <w:numId w:val="11"/>
        </w:numPr>
        <w:ind w:left="360"/>
        <w:rPr>
          <w:rFonts w:cstheme="minorHAnsi"/>
          <w:sz w:val="24"/>
          <w:szCs w:val="24"/>
          <w:lang w:val="en-CA"/>
        </w:rPr>
      </w:pPr>
      <w:r w:rsidRPr="00BD050D">
        <w:rPr>
          <w:rFonts w:cstheme="minorHAnsi"/>
          <w:sz w:val="24"/>
          <w:szCs w:val="24"/>
          <w:lang w:val="en-CA"/>
        </w:rPr>
        <w:t>Overall, in this declaration hierarchy of the</w:t>
      </w:r>
      <w:r w:rsidR="00CD3A84" w:rsidRPr="00BD050D">
        <w:rPr>
          <w:rFonts w:cstheme="minorHAnsi"/>
          <w:sz w:val="24"/>
          <w:szCs w:val="24"/>
          <w:lang w:val="en-CA"/>
        </w:rPr>
        <w:t xml:space="preserve"> integrated circuit</w:t>
      </w:r>
      <w:r w:rsidRPr="00BD050D">
        <w:rPr>
          <w:rFonts w:cstheme="minorHAnsi"/>
          <w:sz w:val="24"/>
          <w:szCs w:val="24"/>
          <w:lang w:val="en-CA"/>
        </w:rPr>
        <w:t xml:space="preserve"> </w:t>
      </w:r>
      <w:r w:rsidR="00CD3A84" w:rsidRPr="00BD050D">
        <w:rPr>
          <w:rFonts w:cstheme="minorHAnsi"/>
          <w:sz w:val="24"/>
          <w:szCs w:val="24"/>
          <w:lang w:val="en-CA"/>
        </w:rPr>
        <w:t>(</w:t>
      </w:r>
      <w:r w:rsidRPr="00BD050D">
        <w:rPr>
          <w:rFonts w:cstheme="minorHAnsi"/>
          <w:sz w:val="24"/>
          <w:szCs w:val="24"/>
          <w:lang w:val="en-CA"/>
        </w:rPr>
        <w:t>IC</w:t>
      </w:r>
      <w:r w:rsidR="00CD3A84" w:rsidRPr="00BD050D">
        <w:rPr>
          <w:rFonts w:cstheme="minorHAnsi"/>
          <w:sz w:val="24"/>
          <w:szCs w:val="24"/>
          <w:lang w:val="en-CA"/>
        </w:rPr>
        <w:t>)</w:t>
      </w:r>
      <w:r w:rsidRPr="00BD050D">
        <w:rPr>
          <w:rFonts w:cstheme="minorHAnsi"/>
          <w:sz w:val="24"/>
          <w:szCs w:val="24"/>
          <w:lang w:val="en-CA"/>
        </w:rPr>
        <w:t xml:space="preserve">, subproducts P4 and P2 are both </w:t>
      </w:r>
      <w:r w:rsidR="00FE2A87" w:rsidRPr="00BD050D">
        <w:rPr>
          <w:rFonts w:cstheme="minorHAnsi"/>
          <w:sz w:val="24"/>
          <w:szCs w:val="24"/>
          <w:lang w:val="en-CA"/>
        </w:rPr>
        <w:t>declarable</w:t>
      </w:r>
      <w:r w:rsidRPr="00BD050D">
        <w:rPr>
          <w:rFonts w:cstheme="minorHAnsi"/>
          <w:sz w:val="24"/>
          <w:szCs w:val="24"/>
          <w:lang w:val="en-CA"/>
        </w:rPr>
        <w:t xml:space="preserve"> articles for different SVHCs, which creates a complex declaration. </w:t>
      </w:r>
    </w:p>
    <w:p w14:paraId="3A5A5FC9" w14:textId="6FA661E9" w:rsidR="00E3611E" w:rsidRPr="00BD050D" w:rsidRDefault="00E3611E" w:rsidP="00E3611E">
      <w:pPr>
        <w:rPr>
          <w:rFonts w:cstheme="minorHAnsi"/>
          <w:sz w:val="24"/>
          <w:szCs w:val="24"/>
          <w:lang w:val="en-CA"/>
        </w:rPr>
      </w:pPr>
      <w:r w:rsidRPr="00BD050D">
        <w:rPr>
          <w:rFonts w:cstheme="minorHAnsi"/>
          <w:noProof/>
          <w:sz w:val="24"/>
          <w:szCs w:val="24"/>
        </w:rPr>
        <w:drawing>
          <wp:inline distT="0" distB="0" distL="0" distR="0" wp14:anchorId="732C7704" wp14:editId="43DA0561">
            <wp:extent cx="5943600" cy="3860800"/>
            <wp:effectExtent l="0" t="38100" r="0" b="1206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DDB563F" w14:textId="41E2A266" w:rsidR="00BD050D" w:rsidRDefault="00BD050D" w:rsidP="00E3611E">
      <w:pPr>
        <w:rPr>
          <w:rFonts w:cstheme="minorHAnsi"/>
          <w:sz w:val="24"/>
          <w:szCs w:val="24"/>
          <w:lang w:val="en-CA"/>
        </w:rPr>
      </w:pPr>
      <w:r w:rsidRPr="00BD050D">
        <w:rPr>
          <w:rFonts w:cstheme="minorHAnsi"/>
          <w:noProof/>
          <w:sz w:val="24"/>
          <w:szCs w:val="24"/>
        </w:rPr>
        <mc:AlternateContent>
          <mc:Choice Requires="wps">
            <w:drawing>
              <wp:anchor distT="0" distB="0" distL="114300" distR="114300" simplePos="0" relativeHeight="251674624" behindDoc="0" locked="0" layoutInCell="1" allowOverlap="1" wp14:anchorId="758715F5" wp14:editId="36D43C0E">
                <wp:simplePos x="0" y="0"/>
                <wp:positionH relativeFrom="column">
                  <wp:posOffset>861060</wp:posOffset>
                </wp:positionH>
                <wp:positionV relativeFrom="paragraph">
                  <wp:posOffset>156210</wp:posOffset>
                </wp:positionV>
                <wp:extent cx="4130040" cy="274320"/>
                <wp:effectExtent l="0" t="0" r="3810" b="0"/>
                <wp:wrapSquare wrapText="bothSides"/>
                <wp:docPr id="2" name="Text Box 2"/>
                <wp:cNvGraphicFramePr/>
                <a:graphic xmlns:a="http://schemas.openxmlformats.org/drawingml/2006/main">
                  <a:graphicData uri="http://schemas.microsoft.com/office/word/2010/wordprocessingShape">
                    <wps:wsp>
                      <wps:cNvSpPr txBox="1"/>
                      <wps:spPr>
                        <a:xfrm>
                          <a:off x="0" y="0"/>
                          <a:ext cx="4130040" cy="274320"/>
                        </a:xfrm>
                        <a:prstGeom prst="rect">
                          <a:avLst/>
                        </a:prstGeom>
                        <a:solidFill>
                          <a:prstClr val="white"/>
                        </a:solidFill>
                        <a:ln>
                          <a:noFill/>
                        </a:ln>
                      </wps:spPr>
                      <wps:txbx>
                        <w:txbxContent>
                          <w:p w14:paraId="22887685" w14:textId="6B098D94" w:rsidR="00BD050D" w:rsidRPr="00BD050D" w:rsidRDefault="00BD050D" w:rsidP="00BD050D">
                            <w:pPr>
                              <w:pStyle w:val="Caption"/>
                              <w:jc w:val="center"/>
                              <w:rPr>
                                <w:color w:val="auto"/>
                              </w:rPr>
                            </w:pPr>
                            <w:r w:rsidRPr="00BD050D">
                              <w:rPr>
                                <w:color w:val="auto"/>
                              </w:rPr>
                              <w:t xml:space="preserve">Figure </w:t>
                            </w:r>
                            <w:r>
                              <w:rPr>
                                <w:color w:val="auto"/>
                              </w:rPr>
                              <w:t>2</w:t>
                            </w:r>
                            <w:r w:rsidRPr="00BD050D">
                              <w:rPr>
                                <w:color w:val="auto"/>
                              </w:rPr>
                              <w:t xml:space="preserve">: </w:t>
                            </w:r>
                            <w:r>
                              <w:rPr>
                                <w:color w:val="auto"/>
                              </w:rPr>
                              <w:t>E</w:t>
                            </w:r>
                            <w:r w:rsidRPr="00BD050D">
                              <w:rPr>
                                <w:color w:val="auto"/>
                              </w:rPr>
                              <w:t>xample</w:t>
                            </w:r>
                            <w:r>
                              <w:rPr>
                                <w:color w:val="auto"/>
                              </w:rPr>
                              <w:t xml:space="preserve"> of a declaration hierarchy</w:t>
                            </w:r>
                            <w:r w:rsidRPr="00BD050D">
                              <w:rPr>
                                <w:color w:val="auto"/>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715F5" id="Text Box 2" o:spid="_x0000_s1027" type="#_x0000_t202" style="position:absolute;margin-left:67.8pt;margin-top:12.3pt;width:325.2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" stroked="f">
                <v:textbox inset="0,0,0,0">
                  <w:txbxContent>
                    <w:p w14:paraId="22887685" w14:textId="6B098D94" w:rsidR="00BD050D" w:rsidRPr="00BD050D" w:rsidRDefault="00BD050D" w:rsidP="00BD050D">
                      <w:pPr>
                        <w:pStyle w:val="Caption"/>
                        <w:jc w:val="center"/>
                        <w:rPr>
                          <w:color w:val="auto"/>
                        </w:rPr>
                      </w:pPr>
                      <w:r w:rsidRPr="00BD050D">
                        <w:rPr>
                          <w:color w:val="auto"/>
                        </w:rPr>
                        <w:t xml:space="preserve">Figure </w:t>
                      </w:r>
                      <w:r>
                        <w:rPr>
                          <w:color w:val="auto"/>
                        </w:rPr>
                        <w:t>2</w:t>
                      </w:r>
                      <w:r w:rsidRPr="00BD050D">
                        <w:rPr>
                          <w:color w:val="auto"/>
                        </w:rPr>
                        <w:t xml:space="preserve">: </w:t>
                      </w:r>
                      <w:r>
                        <w:rPr>
                          <w:color w:val="auto"/>
                        </w:rPr>
                        <w:t>E</w:t>
                      </w:r>
                      <w:r w:rsidRPr="00BD050D">
                        <w:rPr>
                          <w:color w:val="auto"/>
                        </w:rPr>
                        <w:t>xample</w:t>
                      </w:r>
                      <w:r>
                        <w:rPr>
                          <w:color w:val="auto"/>
                        </w:rPr>
                        <w:t xml:space="preserve"> of a declaration hierarchy</w:t>
                      </w:r>
                      <w:r w:rsidRPr="00BD050D">
                        <w:rPr>
                          <w:color w:val="auto"/>
                        </w:rPr>
                        <w:t xml:space="preserve"> </w:t>
                      </w:r>
                    </w:p>
                  </w:txbxContent>
                </v:textbox>
                <w10:wrap type="square"/>
              </v:shape>
            </w:pict>
          </mc:Fallback>
        </mc:AlternateContent>
      </w:r>
    </w:p>
    <w:p w14:paraId="1951D76D" w14:textId="0F139922" w:rsidR="00BD050D" w:rsidRDefault="00BD050D" w:rsidP="00E3611E">
      <w:pPr>
        <w:rPr>
          <w:rFonts w:cstheme="minorHAnsi"/>
          <w:sz w:val="24"/>
          <w:szCs w:val="24"/>
          <w:lang w:val="en-CA"/>
        </w:rPr>
      </w:pPr>
    </w:p>
    <w:p w14:paraId="7DE65A88" w14:textId="77777777" w:rsidR="00BD050D" w:rsidRDefault="00BD050D" w:rsidP="00E3611E">
      <w:pPr>
        <w:rPr>
          <w:rFonts w:cstheme="minorHAnsi"/>
          <w:sz w:val="24"/>
          <w:szCs w:val="24"/>
          <w:lang w:val="en-CA"/>
        </w:rPr>
      </w:pPr>
    </w:p>
    <w:p w14:paraId="38198766" w14:textId="73C21D1A" w:rsidR="00E3611E" w:rsidRPr="00BD050D" w:rsidRDefault="00E3611E" w:rsidP="00E3611E">
      <w:pPr>
        <w:rPr>
          <w:rFonts w:cstheme="minorHAnsi"/>
          <w:sz w:val="24"/>
          <w:szCs w:val="24"/>
          <w:lang w:val="en-CA"/>
        </w:rPr>
      </w:pPr>
      <w:r w:rsidRPr="00BD050D">
        <w:rPr>
          <w:rFonts w:cstheme="minorHAnsi"/>
          <w:sz w:val="24"/>
          <w:szCs w:val="24"/>
          <w:lang w:val="en-CA"/>
        </w:rPr>
        <w:t xml:space="preserve">For the recipient of a declaration to properly assess REACH obligations, it’s necessary for the supplier to declare the material or subproduct (or product) that is the </w:t>
      </w:r>
      <w:r w:rsidR="00FE2A87" w:rsidRPr="00BD050D">
        <w:rPr>
          <w:rFonts w:cstheme="minorHAnsi"/>
          <w:sz w:val="24"/>
          <w:szCs w:val="24"/>
          <w:lang w:val="en-CA"/>
        </w:rPr>
        <w:t>declarable</w:t>
      </w:r>
      <w:r w:rsidRPr="00BD050D">
        <w:rPr>
          <w:rFonts w:cstheme="minorHAnsi"/>
          <w:sz w:val="24"/>
          <w:szCs w:val="24"/>
          <w:lang w:val="en-CA"/>
        </w:rPr>
        <w:t xml:space="preserve"> article and identify that it as an article (by using the </w:t>
      </w:r>
      <w:proofErr w:type="spellStart"/>
      <w:r w:rsidRPr="00BD050D">
        <w:rPr>
          <w:rFonts w:cstheme="minorHAnsi"/>
          <w:sz w:val="24"/>
          <w:szCs w:val="24"/>
          <w:lang w:val="en-CA"/>
        </w:rPr>
        <w:t>isArticle</w:t>
      </w:r>
      <w:proofErr w:type="spellEnd"/>
      <w:r w:rsidRPr="00BD050D">
        <w:rPr>
          <w:rFonts w:cstheme="minorHAnsi"/>
          <w:sz w:val="24"/>
          <w:szCs w:val="24"/>
          <w:lang w:val="en-CA"/>
        </w:rPr>
        <w:t xml:space="preserve"> flag). </w:t>
      </w:r>
    </w:p>
    <w:p w14:paraId="4C539366" w14:textId="6020B295" w:rsidR="00CC6C62" w:rsidRPr="00BD050D" w:rsidRDefault="00E3611E" w:rsidP="00FE0DD1">
      <w:pPr>
        <w:rPr>
          <w:rFonts w:cstheme="minorHAnsi"/>
          <w:sz w:val="24"/>
          <w:szCs w:val="24"/>
          <w:lang w:val="en-CA"/>
        </w:rPr>
      </w:pPr>
      <w:r w:rsidRPr="00BD050D">
        <w:rPr>
          <w:rFonts w:cstheme="minorHAnsi"/>
          <w:sz w:val="24"/>
          <w:szCs w:val="24"/>
          <w:lang w:val="en-CA"/>
        </w:rPr>
        <w:t xml:space="preserve">Note: in some cases (for simple products), the product may be the </w:t>
      </w:r>
      <w:r w:rsidR="00FE2A87" w:rsidRPr="00BD050D">
        <w:rPr>
          <w:rFonts w:cstheme="minorHAnsi"/>
          <w:sz w:val="24"/>
          <w:szCs w:val="24"/>
          <w:lang w:val="en-CA"/>
        </w:rPr>
        <w:t>declarable</w:t>
      </w:r>
      <w:r w:rsidRPr="00BD050D">
        <w:rPr>
          <w:rFonts w:cstheme="minorHAnsi"/>
          <w:sz w:val="24"/>
          <w:szCs w:val="24"/>
          <w:lang w:val="en-CA"/>
        </w:rPr>
        <w:t xml:space="preserve"> article (</w:t>
      </w:r>
      <w:proofErr w:type="gramStart"/>
      <w:r w:rsidRPr="00BD050D">
        <w:rPr>
          <w:rFonts w:cstheme="minorHAnsi"/>
          <w:sz w:val="24"/>
          <w:szCs w:val="24"/>
          <w:lang w:val="en-CA"/>
        </w:rPr>
        <w:t>e.g.</w:t>
      </w:r>
      <w:proofErr w:type="gramEnd"/>
      <w:r w:rsidRPr="00BD050D">
        <w:rPr>
          <w:rFonts w:cstheme="minorHAnsi"/>
          <w:sz w:val="24"/>
          <w:szCs w:val="24"/>
          <w:lang w:val="en-CA"/>
        </w:rPr>
        <w:t xml:space="preserve"> the product provided by a supplier may be a single piece of molded plastic) or the product may be a mixture (e.g. wet paint) and there is no article.</w:t>
      </w:r>
    </w:p>
    <w:p w14:paraId="6EDB3065" w14:textId="77777777" w:rsidR="00CC6C62" w:rsidRPr="00BD050D" w:rsidRDefault="00CC6C62" w:rsidP="002C2287">
      <w:pPr>
        <w:pStyle w:val="ReportBodyText"/>
        <w:spacing w:before="0" w:after="60"/>
        <w:ind w:left="270"/>
        <w:rPr>
          <w:rFonts w:asciiTheme="minorHAnsi" w:eastAsia="Roboto" w:hAnsiTheme="minorHAnsi" w:cstheme="minorHAnsi"/>
          <w:sz w:val="24"/>
          <w:szCs w:val="24"/>
          <w:lang w:eastAsia="en-US"/>
        </w:rPr>
      </w:pPr>
    </w:p>
    <w:p w14:paraId="186ED234" w14:textId="431D8FC1" w:rsidR="00946405" w:rsidRPr="00BD050D" w:rsidRDefault="00946405" w:rsidP="00FE0DD1">
      <w:pPr>
        <w:pStyle w:val="ReportBodyText"/>
        <w:spacing w:before="0" w:after="60"/>
        <w:rPr>
          <w:rFonts w:asciiTheme="minorHAnsi" w:hAnsiTheme="minorHAnsi" w:cstheme="minorHAnsi"/>
          <w:b/>
          <w:sz w:val="24"/>
          <w:szCs w:val="24"/>
          <w:lang w:eastAsia="en-US"/>
        </w:rPr>
      </w:pPr>
      <w:r w:rsidRPr="00BD050D">
        <w:rPr>
          <w:rFonts w:asciiTheme="minorHAnsi" w:hAnsiTheme="minorHAnsi" w:cstheme="minorHAnsi"/>
          <w:b/>
          <w:sz w:val="24"/>
          <w:szCs w:val="24"/>
          <w:lang w:eastAsia="en-US"/>
        </w:rPr>
        <w:t xml:space="preserve">A.4 </w:t>
      </w:r>
      <w:r w:rsidR="00FE0DD1" w:rsidRPr="00BD050D">
        <w:rPr>
          <w:rFonts w:asciiTheme="minorHAnsi" w:hAnsiTheme="minorHAnsi" w:cstheme="minorHAnsi"/>
          <w:b/>
          <w:sz w:val="24"/>
          <w:szCs w:val="24"/>
          <w:lang w:eastAsia="en-US"/>
        </w:rPr>
        <w:t xml:space="preserve">- </w:t>
      </w:r>
      <w:r w:rsidRPr="00BD050D">
        <w:rPr>
          <w:rFonts w:asciiTheme="minorHAnsi" w:hAnsiTheme="minorHAnsi" w:cstheme="minorHAnsi"/>
          <w:b/>
          <w:sz w:val="24"/>
          <w:szCs w:val="24"/>
          <w:lang w:eastAsia="en-US"/>
        </w:rPr>
        <w:t>Reporting for SCIP</w:t>
      </w:r>
    </w:p>
    <w:p w14:paraId="50827827" w14:textId="3F2F40B8" w:rsidR="00BE3FBF" w:rsidRPr="00BD050D" w:rsidRDefault="00B73883" w:rsidP="007F1E6B">
      <w:pPr>
        <w:snapToGrid w:val="0"/>
        <w:spacing w:before="100" w:after="200"/>
        <w:rPr>
          <w:rFonts w:eastAsia="Times New Roman" w:cstheme="minorHAnsi"/>
          <w:spacing w:val="8"/>
          <w:sz w:val="24"/>
          <w:szCs w:val="24"/>
          <w:lang w:eastAsia="zh-CN"/>
        </w:rPr>
      </w:pPr>
      <w:r w:rsidRPr="00BD050D">
        <w:rPr>
          <w:rFonts w:eastAsia="Times New Roman" w:cstheme="minorHAnsi"/>
          <w:spacing w:val="8"/>
          <w:sz w:val="24"/>
          <w:szCs w:val="24"/>
          <w:lang w:eastAsia="zh-CN"/>
        </w:rPr>
        <w:t>The</w:t>
      </w:r>
      <w:r w:rsidR="00BE3FBF" w:rsidRPr="00BD050D">
        <w:rPr>
          <w:rFonts w:eastAsia="Times New Roman" w:cstheme="minorHAnsi"/>
          <w:spacing w:val="8"/>
          <w:sz w:val="24"/>
          <w:szCs w:val="24"/>
          <w:lang w:eastAsia="zh-CN"/>
        </w:rPr>
        <w:t xml:space="preserve"> EU Waste Framework Directive introduced </w:t>
      </w:r>
      <w:r w:rsidRPr="00BD050D">
        <w:rPr>
          <w:rFonts w:eastAsia="Times New Roman" w:cstheme="minorHAnsi"/>
          <w:spacing w:val="8"/>
          <w:sz w:val="24"/>
          <w:szCs w:val="24"/>
          <w:lang w:eastAsia="zh-CN"/>
        </w:rPr>
        <w:t>SCIP</w:t>
      </w:r>
      <w:r w:rsidR="00BE3FBF" w:rsidRPr="00BD050D">
        <w:rPr>
          <w:rFonts w:eastAsia="Times New Roman" w:cstheme="minorHAnsi"/>
          <w:spacing w:val="8"/>
          <w:sz w:val="24"/>
          <w:szCs w:val="24"/>
          <w:lang w:eastAsia="zh-CN"/>
        </w:rPr>
        <w:t xml:space="preserve"> requirements. The ECHA have created the SCIP </w:t>
      </w:r>
      <w:r w:rsidRPr="00BD050D">
        <w:rPr>
          <w:rFonts w:eastAsia="Times New Roman" w:cstheme="minorHAnsi"/>
          <w:spacing w:val="8"/>
          <w:sz w:val="24"/>
          <w:szCs w:val="24"/>
          <w:lang w:eastAsia="zh-CN"/>
        </w:rPr>
        <w:t xml:space="preserve">database requirements, </w:t>
      </w:r>
      <w:r w:rsidR="00BE3FBF" w:rsidRPr="00BD050D">
        <w:rPr>
          <w:rFonts w:eastAsia="Times New Roman" w:cstheme="minorHAnsi"/>
          <w:spacing w:val="8"/>
          <w:sz w:val="24"/>
          <w:szCs w:val="24"/>
          <w:lang w:eastAsia="zh-CN"/>
        </w:rPr>
        <w:t>some of which</w:t>
      </w:r>
      <w:r w:rsidRPr="00BD050D">
        <w:rPr>
          <w:rFonts w:eastAsia="Times New Roman" w:cstheme="minorHAnsi"/>
          <w:spacing w:val="8"/>
          <w:sz w:val="24"/>
          <w:szCs w:val="24"/>
          <w:lang w:eastAsia="zh-CN"/>
        </w:rPr>
        <w:t xml:space="preserve"> are significantly different from EU REACH</w:t>
      </w:r>
      <w:r w:rsidR="00BE3FBF" w:rsidRPr="00BD050D">
        <w:rPr>
          <w:rFonts w:eastAsia="Times New Roman" w:cstheme="minorHAnsi"/>
          <w:spacing w:val="8"/>
          <w:sz w:val="24"/>
          <w:szCs w:val="24"/>
          <w:lang w:eastAsia="zh-CN"/>
        </w:rPr>
        <w:t xml:space="preserve">. Not all companies are required, or permitted, to submit data into the SCIP database. Companies with requirements per the directive are known as “duty holders”. </w:t>
      </w:r>
      <w:r w:rsidR="00CF3C57" w:rsidRPr="00BD050D">
        <w:rPr>
          <w:rFonts w:eastAsia="Times New Roman" w:cstheme="minorHAnsi"/>
          <w:spacing w:val="8"/>
          <w:sz w:val="24"/>
          <w:szCs w:val="24"/>
          <w:lang w:eastAsia="zh-CN"/>
        </w:rPr>
        <w:t xml:space="preserve">Duty holders either import or manufacture the article or complex object and place into the European Union market. </w:t>
      </w:r>
      <w:r w:rsidR="00BE3FBF" w:rsidRPr="00BD050D">
        <w:rPr>
          <w:rFonts w:eastAsia="Times New Roman" w:cstheme="minorHAnsi"/>
          <w:spacing w:val="8"/>
          <w:sz w:val="24"/>
          <w:szCs w:val="24"/>
          <w:lang w:eastAsia="zh-CN"/>
        </w:rPr>
        <w:t xml:space="preserve">Country requirements differ within the EU; non-EU companies may not have any legal obligation to do so. </w:t>
      </w:r>
      <w:r w:rsidR="00D6771C" w:rsidRPr="00BD050D">
        <w:rPr>
          <w:rFonts w:eastAsia="Times New Roman" w:cstheme="minorHAnsi"/>
          <w:spacing w:val="8"/>
          <w:sz w:val="24"/>
          <w:szCs w:val="24"/>
          <w:lang w:eastAsia="zh-CN"/>
        </w:rPr>
        <w:t xml:space="preserve">However, IPC-1754 is structured such that the SCIP data can be part of any REACH declaration. </w:t>
      </w:r>
    </w:p>
    <w:p w14:paraId="0CAB80E9" w14:textId="31E9D937" w:rsidR="00654412" w:rsidRPr="00BD050D" w:rsidRDefault="00E842E2" w:rsidP="007F1E6B">
      <w:pPr>
        <w:snapToGrid w:val="0"/>
        <w:spacing w:before="100" w:after="200"/>
        <w:rPr>
          <w:rFonts w:eastAsia="Times New Roman" w:cstheme="minorHAnsi"/>
          <w:spacing w:val="8"/>
          <w:sz w:val="24"/>
          <w:szCs w:val="24"/>
          <w:lang w:eastAsia="zh-CN"/>
        </w:rPr>
      </w:pPr>
      <w:r w:rsidRPr="00BD050D">
        <w:rPr>
          <w:rFonts w:eastAsia="Times New Roman" w:cstheme="minorHAnsi"/>
          <w:spacing w:val="8"/>
          <w:sz w:val="24"/>
          <w:szCs w:val="24"/>
          <w:lang w:eastAsia="zh-CN"/>
        </w:rPr>
        <w:t>The requirements for SCIP data submission by the duty holder is triggered when the SVHC concentration exceed 0.1% w/w threshold similar</w:t>
      </w:r>
      <w:r w:rsidR="007F1E6B" w:rsidRPr="00BD050D">
        <w:rPr>
          <w:rFonts w:eastAsia="Times New Roman" w:cstheme="minorHAnsi"/>
          <w:spacing w:val="8"/>
          <w:sz w:val="24"/>
          <w:szCs w:val="24"/>
          <w:lang w:eastAsia="zh-CN"/>
        </w:rPr>
        <w:t xml:space="preserve"> </w:t>
      </w:r>
      <w:r w:rsidRPr="00BD050D">
        <w:rPr>
          <w:rFonts w:eastAsia="Times New Roman" w:cstheme="minorHAnsi"/>
          <w:spacing w:val="8"/>
          <w:sz w:val="24"/>
          <w:szCs w:val="24"/>
          <w:lang w:eastAsia="zh-CN"/>
        </w:rPr>
        <w:t xml:space="preserve">to REACH Article 33 communication obligations.  </w:t>
      </w:r>
      <w:r w:rsidR="003C5F00" w:rsidRPr="00BD050D">
        <w:rPr>
          <w:rFonts w:eastAsia="Times New Roman" w:cstheme="minorHAnsi"/>
          <w:spacing w:val="8"/>
          <w:sz w:val="24"/>
          <w:szCs w:val="24"/>
          <w:lang w:eastAsia="zh-CN"/>
        </w:rPr>
        <w:t>SCIP submissions,</w:t>
      </w:r>
      <w:r w:rsidR="007411F7" w:rsidRPr="00BD050D">
        <w:rPr>
          <w:rFonts w:eastAsia="Times New Roman" w:cstheme="minorHAnsi"/>
          <w:spacing w:val="8"/>
          <w:sz w:val="24"/>
          <w:szCs w:val="24"/>
          <w:lang w:eastAsia="zh-CN"/>
        </w:rPr>
        <w:t xml:space="preserve"> </w:t>
      </w:r>
      <w:r w:rsidRPr="00BD050D">
        <w:rPr>
          <w:rFonts w:eastAsia="Times New Roman" w:cstheme="minorHAnsi"/>
          <w:spacing w:val="8"/>
          <w:sz w:val="24"/>
          <w:szCs w:val="24"/>
          <w:lang w:eastAsia="zh-CN"/>
        </w:rPr>
        <w:t xml:space="preserve">require </w:t>
      </w:r>
      <w:r w:rsidR="007411F7" w:rsidRPr="00BD050D">
        <w:rPr>
          <w:rFonts w:eastAsia="Times New Roman" w:cstheme="minorHAnsi"/>
          <w:spacing w:val="8"/>
          <w:sz w:val="24"/>
          <w:szCs w:val="24"/>
          <w:lang w:eastAsia="zh-CN"/>
        </w:rPr>
        <w:t>additional</w:t>
      </w:r>
      <w:r w:rsidR="003C5F00" w:rsidRPr="00BD050D">
        <w:rPr>
          <w:rFonts w:eastAsia="Times New Roman" w:cstheme="minorHAnsi"/>
          <w:spacing w:val="8"/>
          <w:sz w:val="24"/>
          <w:szCs w:val="24"/>
          <w:lang w:eastAsia="zh-CN"/>
        </w:rPr>
        <w:t xml:space="preserve"> information</w:t>
      </w:r>
      <w:r w:rsidRPr="00BD050D">
        <w:rPr>
          <w:rFonts w:eastAsia="Times New Roman" w:cstheme="minorHAnsi"/>
          <w:spacing w:val="8"/>
          <w:sz w:val="24"/>
          <w:szCs w:val="24"/>
          <w:lang w:eastAsia="zh-CN"/>
        </w:rPr>
        <w:t xml:space="preserve"> </w:t>
      </w:r>
      <w:r w:rsidR="003C5F00" w:rsidRPr="00BD050D">
        <w:rPr>
          <w:rFonts w:eastAsia="Times New Roman" w:cstheme="minorHAnsi"/>
          <w:spacing w:val="8"/>
          <w:sz w:val="24"/>
          <w:szCs w:val="24"/>
          <w:lang w:eastAsia="zh-CN"/>
        </w:rPr>
        <w:t xml:space="preserve">for each different type of article containing the SVHC.  For example, a product that contains the SVHC lead (Pb) in ten different articles within the product, needs ten sets of article information to be provided with the SVHC.  </w:t>
      </w:r>
      <w:r w:rsidRPr="00BD050D">
        <w:rPr>
          <w:rFonts w:eastAsia="Times New Roman" w:cstheme="minorHAnsi"/>
          <w:spacing w:val="8"/>
          <w:sz w:val="24"/>
          <w:szCs w:val="24"/>
          <w:lang w:eastAsia="zh-CN"/>
        </w:rPr>
        <w:t>Table A4-1 provided details of this additional information.</w:t>
      </w:r>
    </w:p>
    <w:tbl>
      <w:tblPr>
        <w:tblW w:w="8995" w:type="dxa"/>
        <w:tblLook w:val="04A0" w:firstRow="1" w:lastRow="0" w:firstColumn="1" w:lastColumn="0" w:noHBand="0" w:noVBand="1"/>
      </w:tblPr>
      <w:tblGrid>
        <w:gridCol w:w="2065"/>
        <w:gridCol w:w="5940"/>
        <w:gridCol w:w="990"/>
      </w:tblGrid>
      <w:tr w:rsidR="00BD050D" w:rsidRPr="00BD050D" w14:paraId="574658BA" w14:textId="77777777" w:rsidTr="00D6771C">
        <w:trPr>
          <w:trHeight w:val="320"/>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5BDF1" w14:textId="1DE83496" w:rsidR="003747B9" w:rsidRPr="00BD050D" w:rsidRDefault="00921F3E" w:rsidP="003747B9">
            <w:pPr>
              <w:spacing w:before="0"/>
              <w:jc w:val="center"/>
              <w:rPr>
                <w:rFonts w:eastAsia="Times New Roman" w:cstheme="minorHAnsi"/>
                <w:spacing w:val="8"/>
                <w:sz w:val="24"/>
                <w:szCs w:val="24"/>
                <w:lang w:eastAsia="zh-CN"/>
              </w:rPr>
            </w:pPr>
            <w:r w:rsidRPr="00BD050D">
              <w:rPr>
                <w:rFonts w:cstheme="minorHAnsi"/>
                <w:sz w:val="24"/>
                <w:szCs w:val="24"/>
              </w:rPr>
              <w:t>Category</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1E44C0B0" w14:textId="6B535149" w:rsidR="003747B9" w:rsidRPr="00BD050D" w:rsidRDefault="00921F3E" w:rsidP="00464C60">
            <w:pPr>
              <w:spacing w:before="0"/>
              <w:jc w:val="center"/>
              <w:rPr>
                <w:rFonts w:eastAsia="Times New Roman" w:cstheme="minorHAnsi"/>
                <w:spacing w:val="8"/>
                <w:sz w:val="24"/>
                <w:szCs w:val="24"/>
                <w:lang w:eastAsia="zh-CN"/>
              </w:rPr>
            </w:pPr>
            <w:r w:rsidRPr="00BD050D">
              <w:rPr>
                <w:rFonts w:cstheme="minorHAnsi"/>
                <w:sz w:val="24"/>
                <w:szCs w:val="24"/>
              </w:rPr>
              <w:t>SCIP Information Requirements for Submission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EA0D669" w14:textId="52686420" w:rsidR="003747B9" w:rsidRPr="00BD050D" w:rsidRDefault="003747B9"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 xml:space="preserve"> (M/O)</w:t>
            </w:r>
          </w:p>
        </w:tc>
      </w:tr>
      <w:tr w:rsidR="00BD050D" w:rsidRPr="00BD050D" w14:paraId="57D24006" w14:textId="77777777" w:rsidTr="00D6771C">
        <w:trPr>
          <w:trHeight w:val="320"/>
        </w:trPr>
        <w:tc>
          <w:tcPr>
            <w:tcW w:w="2065" w:type="dxa"/>
            <w:vMerge w:val="restart"/>
            <w:tcBorders>
              <w:top w:val="nil"/>
              <w:left w:val="single" w:sz="4" w:space="0" w:color="auto"/>
              <w:right w:val="single" w:sz="4" w:space="0" w:color="auto"/>
            </w:tcBorders>
            <w:shd w:val="clear" w:color="auto" w:fill="auto"/>
            <w:vAlign w:val="center"/>
            <w:hideMark/>
          </w:tcPr>
          <w:p w14:paraId="40C6B4C8" w14:textId="190DFBD9" w:rsidR="00AB623C" w:rsidRPr="00BD050D" w:rsidRDefault="00AB623C" w:rsidP="00464C60">
            <w:pPr>
              <w:spacing w:before="0"/>
              <w:rPr>
                <w:rFonts w:eastAsia="Times New Roman" w:cstheme="minorHAnsi"/>
                <w:spacing w:val="8"/>
                <w:sz w:val="24"/>
                <w:szCs w:val="24"/>
                <w:lang w:eastAsia="zh-CN"/>
              </w:rPr>
            </w:pPr>
            <w:r w:rsidRPr="00BD050D">
              <w:rPr>
                <w:rFonts w:cstheme="minorHAnsi"/>
                <w:noProof/>
                <w:sz w:val="24"/>
                <w:szCs w:val="24"/>
                <w:lang w:val="en-GB" w:eastAsia="en-GB"/>
              </w:rPr>
              <w:t>Common requirements for both articles as such and complex objects</w:t>
            </w:r>
          </w:p>
        </w:tc>
        <w:tc>
          <w:tcPr>
            <w:tcW w:w="5940" w:type="dxa"/>
            <w:tcBorders>
              <w:top w:val="nil"/>
              <w:left w:val="nil"/>
              <w:bottom w:val="single" w:sz="4" w:space="0" w:color="auto"/>
              <w:right w:val="single" w:sz="4" w:space="0" w:color="auto"/>
            </w:tcBorders>
            <w:shd w:val="clear" w:color="auto" w:fill="auto"/>
            <w:vAlign w:val="center"/>
            <w:hideMark/>
          </w:tcPr>
          <w:p w14:paraId="22123500" w14:textId="4F2D29B0" w:rsidR="00AB623C" w:rsidRPr="00BD050D" w:rsidRDefault="00AB623C" w:rsidP="003747B9">
            <w:pPr>
              <w:spacing w:before="0"/>
              <w:rPr>
                <w:rFonts w:eastAsia="Times New Roman" w:cstheme="minorHAnsi"/>
                <w:spacing w:val="8"/>
                <w:sz w:val="24"/>
                <w:szCs w:val="24"/>
                <w:lang w:eastAsia="zh-CN"/>
              </w:rPr>
            </w:pPr>
            <w:r w:rsidRPr="00BD050D">
              <w:rPr>
                <w:rFonts w:cstheme="minorHAnsi"/>
                <w:b/>
                <w:bCs/>
                <w:sz w:val="24"/>
                <w:szCs w:val="24"/>
              </w:rPr>
              <w:t>Article Name</w:t>
            </w:r>
            <w:r w:rsidRPr="00BD050D">
              <w:rPr>
                <w:rFonts w:cstheme="minorHAnsi"/>
                <w:sz w:val="24"/>
                <w:szCs w:val="24"/>
              </w:rPr>
              <w:t>: Main name assigned to the article as such or the complex object; free text</w:t>
            </w:r>
          </w:p>
        </w:tc>
        <w:tc>
          <w:tcPr>
            <w:tcW w:w="990" w:type="dxa"/>
            <w:tcBorders>
              <w:top w:val="nil"/>
              <w:left w:val="nil"/>
              <w:bottom w:val="single" w:sz="4" w:space="0" w:color="auto"/>
              <w:right w:val="single" w:sz="4" w:space="0" w:color="auto"/>
            </w:tcBorders>
            <w:shd w:val="clear" w:color="auto" w:fill="auto"/>
            <w:vAlign w:val="center"/>
            <w:hideMark/>
          </w:tcPr>
          <w:p w14:paraId="2F87FA65" w14:textId="3E41A477"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255F3E57" w14:textId="77777777" w:rsidTr="00D6771C">
        <w:trPr>
          <w:trHeight w:val="320"/>
        </w:trPr>
        <w:tc>
          <w:tcPr>
            <w:tcW w:w="2065" w:type="dxa"/>
            <w:vMerge/>
            <w:tcBorders>
              <w:left w:val="single" w:sz="4" w:space="0" w:color="auto"/>
              <w:right w:val="single" w:sz="4" w:space="0" w:color="auto"/>
            </w:tcBorders>
            <w:shd w:val="clear" w:color="auto" w:fill="auto"/>
            <w:vAlign w:val="center"/>
            <w:hideMark/>
          </w:tcPr>
          <w:p w14:paraId="37EF1201" w14:textId="016D91DA" w:rsidR="00AB623C" w:rsidRPr="00BD050D" w:rsidRDefault="00AB623C" w:rsidP="00464C60">
            <w:pPr>
              <w:spacing w:before="0"/>
              <w:rPr>
                <w:rFonts w:eastAsia="Times New Roman" w:cstheme="minorHAnsi"/>
                <w:spacing w:val="8"/>
                <w:sz w:val="24"/>
                <w:szCs w:val="24"/>
                <w:lang w:eastAsia="zh-CN"/>
              </w:rPr>
            </w:pPr>
          </w:p>
        </w:tc>
        <w:tc>
          <w:tcPr>
            <w:tcW w:w="5940" w:type="dxa"/>
            <w:tcBorders>
              <w:top w:val="nil"/>
              <w:left w:val="nil"/>
              <w:bottom w:val="single" w:sz="4" w:space="0" w:color="auto"/>
              <w:right w:val="single" w:sz="4" w:space="0" w:color="auto"/>
            </w:tcBorders>
            <w:shd w:val="clear" w:color="auto" w:fill="auto"/>
            <w:vAlign w:val="center"/>
            <w:hideMark/>
          </w:tcPr>
          <w:p w14:paraId="69927273" w14:textId="75A09F4A" w:rsidR="00AB623C" w:rsidRPr="00BD050D" w:rsidRDefault="00AB623C" w:rsidP="003747B9">
            <w:pPr>
              <w:spacing w:before="0"/>
              <w:rPr>
                <w:rFonts w:eastAsia="Times New Roman" w:cstheme="minorHAnsi"/>
                <w:spacing w:val="8"/>
                <w:sz w:val="24"/>
                <w:szCs w:val="24"/>
                <w:lang w:eastAsia="zh-CN"/>
              </w:rPr>
            </w:pPr>
            <w:r w:rsidRPr="00BD050D">
              <w:rPr>
                <w:rFonts w:cstheme="minorHAnsi"/>
                <w:b/>
                <w:bCs/>
                <w:sz w:val="24"/>
                <w:szCs w:val="24"/>
              </w:rPr>
              <w:t>Other name(s)</w:t>
            </w:r>
            <w:r w:rsidRPr="00BD050D">
              <w:rPr>
                <w:rFonts w:cstheme="minorHAnsi"/>
                <w:sz w:val="24"/>
                <w:szCs w:val="24"/>
              </w:rPr>
              <w:t xml:space="preserve">: </w:t>
            </w:r>
            <w:proofErr w:type="gramStart"/>
            <w:r w:rsidRPr="00BD050D">
              <w:rPr>
                <w:rFonts w:cstheme="minorHAnsi"/>
                <w:sz w:val="24"/>
                <w:szCs w:val="24"/>
              </w:rPr>
              <w:t>e.g.</w:t>
            </w:r>
            <w:proofErr w:type="gramEnd"/>
            <w:r w:rsidRPr="00BD050D">
              <w:rPr>
                <w:rFonts w:cstheme="minorHAnsi"/>
                <w:sz w:val="24"/>
                <w:szCs w:val="24"/>
              </w:rPr>
              <w:t xml:space="preserve"> Brand; Model</w:t>
            </w:r>
          </w:p>
        </w:tc>
        <w:tc>
          <w:tcPr>
            <w:tcW w:w="990" w:type="dxa"/>
            <w:tcBorders>
              <w:top w:val="nil"/>
              <w:left w:val="nil"/>
              <w:bottom w:val="single" w:sz="4" w:space="0" w:color="auto"/>
              <w:right w:val="single" w:sz="4" w:space="0" w:color="auto"/>
            </w:tcBorders>
            <w:shd w:val="clear" w:color="auto" w:fill="auto"/>
            <w:vAlign w:val="center"/>
            <w:hideMark/>
          </w:tcPr>
          <w:p w14:paraId="323D878F" w14:textId="77777777"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2B7BD896" w14:textId="77777777" w:rsidTr="00D6771C">
        <w:trPr>
          <w:trHeight w:val="320"/>
        </w:trPr>
        <w:tc>
          <w:tcPr>
            <w:tcW w:w="2065" w:type="dxa"/>
            <w:vMerge/>
            <w:tcBorders>
              <w:left w:val="single" w:sz="4" w:space="0" w:color="auto"/>
              <w:right w:val="single" w:sz="4" w:space="0" w:color="auto"/>
            </w:tcBorders>
            <w:shd w:val="clear" w:color="auto" w:fill="auto"/>
            <w:vAlign w:val="center"/>
            <w:hideMark/>
          </w:tcPr>
          <w:p w14:paraId="51E75F41" w14:textId="7F0BC794" w:rsidR="00AB623C" w:rsidRPr="00BD050D" w:rsidRDefault="00AB623C" w:rsidP="00464C60">
            <w:pPr>
              <w:spacing w:before="0"/>
              <w:rPr>
                <w:rFonts w:eastAsia="Times New Roman" w:cstheme="minorHAnsi"/>
                <w:spacing w:val="8"/>
                <w:sz w:val="24"/>
                <w:szCs w:val="24"/>
                <w:lang w:eastAsia="zh-CN"/>
              </w:rPr>
            </w:pPr>
          </w:p>
        </w:tc>
        <w:tc>
          <w:tcPr>
            <w:tcW w:w="5940" w:type="dxa"/>
            <w:tcBorders>
              <w:top w:val="nil"/>
              <w:left w:val="nil"/>
              <w:bottom w:val="single" w:sz="4" w:space="0" w:color="auto"/>
              <w:right w:val="single" w:sz="4" w:space="0" w:color="auto"/>
            </w:tcBorders>
            <w:shd w:val="clear" w:color="auto" w:fill="auto"/>
            <w:vAlign w:val="center"/>
            <w:hideMark/>
          </w:tcPr>
          <w:p w14:paraId="343E1DAD" w14:textId="7E69EFD5" w:rsidR="00AB623C" w:rsidRPr="00BD050D" w:rsidRDefault="00AB623C" w:rsidP="0098438D">
            <w:pPr>
              <w:spacing w:before="0"/>
              <w:rPr>
                <w:rFonts w:eastAsia="Times New Roman" w:cstheme="minorHAnsi"/>
                <w:spacing w:val="8"/>
                <w:sz w:val="24"/>
                <w:szCs w:val="24"/>
                <w:lang w:eastAsia="zh-CN"/>
              </w:rPr>
            </w:pPr>
            <w:r w:rsidRPr="00BD050D">
              <w:rPr>
                <w:rFonts w:cstheme="minorHAnsi"/>
                <w:b/>
                <w:bCs/>
                <w:sz w:val="24"/>
                <w:szCs w:val="24"/>
              </w:rPr>
              <w:t xml:space="preserve">Primary Article Identifier: </w:t>
            </w:r>
            <w:proofErr w:type="gramStart"/>
            <w:r w:rsidRPr="00BD050D">
              <w:rPr>
                <w:rFonts w:cstheme="minorHAnsi"/>
                <w:sz w:val="24"/>
                <w:szCs w:val="24"/>
              </w:rPr>
              <w:t>e.g.</w:t>
            </w:r>
            <w:proofErr w:type="gramEnd"/>
            <w:r w:rsidRPr="00BD050D">
              <w:rPr>
                <w:rFonts w:cstheme="minorHAnsi"/>
                <w:sz w:val="24"/>
                <w:szCs w:val="24"/>
              </w:rPr>
              <w:t xml:space="preserve"> European Article Number (EAN); Global Trade Item Number (GTIN); Universal Product Code (GPC); Catalogue number; ECHA Article ID, part number.</w:t>
            </w:r>
          </w:p>
        </w:tc>
        <w:tc>
          <w:tcPr>
            <w:tcW w:w="990" w:type="dxa"/>
            <w:tcBorders>
              <w:top w:val="nil"/>
              <w:left w:val="nil"/>
              <w:bottom w:val="single" w:sz="4" w:space="0" w:color="auto"/>
              <w:right w:val="single" w:sz="4" w:space="0" w:color="auto"/>
            </w:tcBorders>
            <w:shd w:val="clear" w:color="auto" w:fill="auto"/>
            <w:vAlign w:val="center"/>
            <w:hideMark/>
          </w:tcPr>
          <w:p w14:paraId="4E054040" w14:textId="7ED98630"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0559E0B0" w14:textId="77777777" w:rsidTr="00D6771C">
        <w:trPr>
          <w:trHeight w:val="320"/>
        </w:trPr>
        <w:tc>
          <w:tcPr>
            <w:tcW w:w="2065" w:type="dxa"/>
            <w:vMerge/>
            <w:tcBorders>
              <w:left w:val="single" w:sz="4" w:space="0" w:color="auto"/>
              <w:right w:val="single" w:sz="4" w:space="0" w:color="auto"/>
            </w:tcBorders>
            <w:shd w:val="clear" w:color="auto" w:fill="auto"/>
            <w:vAlign w:val="center"/>
            <w:hideMark/>
          </w:tcPr>
          <w:p w14:paraId="4930C044" w14:textId="5F9CD3B6" w:rsidR="00AB623C" w:rsidRPr="00BD050D" w:rsidRDefault="00AB623C" w:rsidP="00464C60">
            <w:pPr>
              <w:spacing w:before="0"/>
              <w:rPr>
                <w:rFonts w:eastAsia="Times New Roman" w:cstheme="minorHAnsi"/>
                <w:spacing w:val="8"/>
                <w:sz w:val="24"/>
                <w:szCs w:val="24"/>
                <w:lang w:eastAsia="zh-CN"/>
              </w:rPr>
            </w:pPr>
          </w:p>
        </w:tc>
        <w:tc>
          <w:tcPr>
            <w:tcW w:w="5940" w:type="dxa"/>
            <w:tcBorders>
              <w:top w:val="nil"/>
              <w:left w:val="nil"/>
              <w:bottom w:val="single" w:sz="4" w:space="0" w:color="auto"/>
              <w:right w:val="single" w:sz="4" w:space="0" w:color="auto"/>
            </w:tcBorders>
            <w:shd w:val="clear" w:color="auto" w:fill="auto"/>
            <w:vAlign w:val="center"/>
            <w:hideMark/>
          </w:tcPr>
          <w:p w14:paraId="6E4CDF5F" w14:textId="217E1AEF" w:rsidR="00AB623C" w:rsidRPr="00BD050D" w:rsidRDefault="00AB623C" w:rsidP="0098438D">
            <w:pPr>
              <w:spacing w:before="0"/>
              <w:rPr>
                <w:rFonts w:eastAsia="Times New Roman" w:cstheme="minorHAnsi"/>
                <w:spacing w:val="8"/>
                <w:sz w:val="24"/>
                <w:szCs w:val="24"/>
                <w:lang w:eastAsia="zh-CN"/>
              </w:rPr>
            </w:pPr>
            <w:r w:rsidRPr="00BD050D">
              <w:rPr>
                <w:rFonts w:cstheme="minorHAnsi"/>
                <w:b/>
                <w:bCs/>
                <w:sz w:val="24"/>
                <w:szCs w:val="24"/>
              </w:rPr>
              <w:t>Other Article Identifier (s)</w:t>
            </w:r>
          </w:p>
        </w:tc>
        <w:tc>
          <w:tcPr>
            <w:tcW w:w="990" w:type="dxa"/>
            <w:tcBorders>
              <w:top w:val="nil"/>
              <w:left w:val="nil"/>
              <w:bottom w:val="single" w:sz="4" w:space="0" w:color="auto"/>
              <w:right w:val="single" w:sz="4" w:space="0" w:color="auto"/>
            </w:tcBorders>
            <w:shd w:val="clear" w:color="auto" w:fill="auto"/>
            <w:vAlign w:val="center"/>
            <w:hideMark/>
          </w:tcPr>
          <w:p w14:paraId="16222438" w14:textId="77777777"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4B72D995" w14:textId="77777777" w:rsidTr="00D6771C">
        <w:trPr>
          <w:trHeight w:val="320"/>
        </w:trPr>
        <w:tc>
          <w:tcPr>
            <w:tcW w:w="2065" w:type="dxa"/>
            <w:vMerge/>
            <w:tcBorders>
              <w:left w:val="single" w:sz="4" w:space="0" w:color="auto"/>
              <w:right w:val="single" w:sz="4" w:space="0" w:color="auto"/>
            </w:tcBorders>
            <w:shd w:val="clear" w:color="auto" w:fill="auto"/>
            <w:vAlign w:val="center"/>
            <w:hideMark/>
          </w:tcPr>
          <w:p w14:paraId="640D77C2" w14:textId="0D19DF20" w:rsidR="00AB623C" w:rsidRPr="00BD050D" w:rsidRDefault="00AB623C" w:rsidP="00464C60">
            <w:pPr>
              <w:spacing w:before="0"/>
              <w:rPr>
                <w:rFonts w:eastAsia="Times New Roman" w:cstheme="minorHAnsi"/>
                <w:spacing w:val="8"/>
                <w:sz w:val="24"/>
                <w:szCs w:val="24"/>
                <w:lang w:eastAsia="zh-CN"/>
              </w:rPr>
            </w:pPr>
          </w:p>
        </w:tc>
        <w:tc>
          <w:tcPr>
            <w:tcW w:w="5940" w:type="dxa"/>
            <w:tcBorders>
              <w:top w:val="nil"/>
              <w:left w:val="nil"/>
              <w:bottom w:val="single" w:sz="4" w:space="0" w:color="auto"/>
              <w:right w:val="single" w:sz="4" w:space="0" w:color="auto"/>
            </w:tcBorders>
            <w:shd w:val="clear" w:color="auto" w:fill="auto"/>
            <w:vAlign w:val="center"/>
            <w:hideMark/>
          </w:tcPr>
          <w:p w14:paraId="73B833AD" w14:textId="26EB203A" w:rsidR="00AB623C" w:rsidRPr="00BD050D" w:rsidRDefault="00AB623C" w:rsidP="0098438D">
            <w:pPr>
              <w:spacing w:before="0"/>
              <w:rPr>
                <w:rFonts w:eastAsia="Times New Roman" w:cstheme="minorHAnsi"/>
                <w:spacing w:val="8"/>
                <w:sz w:val="24"/>
                <w:szCs w:val="24"/>
                <w:lang w:eastAsia="zh-CN"/>
              </w:rPr>
            </w:pPr>
            <w:r w:rsidRPr="00BD050D">
              <w:rPr>
                <w:rFonts w:cstheme="minorHAnsi"/>
                <w:b/>
                <w:bCs/>
                <w:sz w:val="24"/>
                <w:szCs w:val="24"/>
              </w:rPr>
              <w:t>Article category</w:t>
            </w:r>
            <w:r w:rsidRPr="00BD050D">
              <w:rPr>
                <w:rFonts w:cstheme="minorHAnsi"/>
                <w:sz w:val="24"/>
                <w:szCs w:val="24"/>
              </w:rPr>
              <w:t xml:space="preserve"> Identification of the article as such or the complex object from a harmonized list (with codes and description) which cannot be achieved by the article name(s) assigned, until a certain level of granularity, based on function/use. It is important to identify certain relevant waste streams. Allowed values: The integrated Tariff of the European Union – </w:t>
            </w:r>
            <w:hyperlink r:id="rId25" w:history="1">
              <w:r w:rsidRPr="00BD050D">
                <w:rPr>
                  <w:rStyle w:val="Hyperlink"/>
                  <w:rFonts w:cstheme="minorHAnsi"/>
                  <w:color w:val="auto"/>
                  <w:sz w:val="24"/>
                  <w:szCs w:val="24"/>
                </w:rPr>
                <w:t>TARIC</w:t>
              </w:r>
            </w:hyperlink>
            <w:r w:rsidRPr="00BD050D">
              <w:rPr>
                <w:rFonts w:cstheme="minorHAnsi"/>
                <w:sz w:val="24"/>
                <w:szCs w:val="24"/>
              </w:rPr>
              <w:t xml:space="preserve"> - list, based on the Combined Nomenclature (CN) description and code [</w:t>
            </w:r>
            <w:hyperlink r:id="rId26" w:history="1">
              <w:r w:rsidRPr="00BD050D">
                <w:rPr>
                  <w:rStyle w:val="Hyperlink"/>
                  <w:rFonts w:cstheme="minorHAnsi"/>
                  <w:color w:val="auto"/>
                  <w:sz w:val="24"/>
                  <w:szCs w:val="24"/>
                </w:rPr>
                <w:t>Annex I</w:t>
              </w:r>
            </w:hyperlink>
            <w:r w:rsidRPr="00BD050D">
              <w:rPr>
                <w:rFonts w:cstheme="minorHAnsi"/>
                <w:sz w:val="24"/>
                <w:szCs w:val="24"/>
              </w:rPr>
              <w:t xml:space="preserve"> to Council Regulation (EEC) No 2658/87] (the relevant descriptions and codes must be selected).</w:t>
            </w:r>
            <w:r w:rsidRPr="00BD050D">
              <w:rPr>
                <w:rFonts w:eastAsia="Times New Roman" w:cstheme="minorHAnsi"/>
                <w:spacing w:val="8"/>
                <w:sz w:val="24"/>
                <w:szCs w:val="24"/>
                <w:lang w:eastAsia="zh-CN"/>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7CA36AC1" w14:textId="4DF6A8CD"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078BF626" w14:textId="77777777" w:rsidTr="00D6771C">
        <w:trPr>
          <w:trHeight w:val="320"/>
        </w:trPr>
        <w:tc>
          <w:tcPr>
            <w:tcW w:w="2065" w:type="dxa"/>
            <w:vMerge/>
            <w:tcBorders>
              <w:left w:val="single" w:sz="4" w:space="0" w:color="auto"/>
              <w:right w:val="single" w:sz="4" w:space="0" w:color="auto"/>
            </w:tcBorders>
            <w:shd w:val="clear" w:color="auto" w:fill="auto"/>
            <w:vAlign w:val="center"/>
            <w:hideMark/>
          </w:tcPr>
          <w:p w14:paraId="1012187A" w14:textId="5FE78936" w:rsidR="00AB623C" w:rsidRPr="00BD050D" w:rsidRDefault="00AB623C" w:rsidP="00464C60">
            <w:pPr>
              <w:spacing w:before="0"/>
              <w:rPr>
                <w:rFonts w:eastAsia="Times New Roman" w:cstheme="minorHAnsi"/>
                <w:spacing w:val="8"/>
                <w:sz w:val="24"/>
                <w:szCs w:val="24"/>
                <w:lang w:eastAsia="zh-CN"/>
              </w:rPr>
            </w:pP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2141B0A7" w14:textId="4371A84F" w:rsidR="00AB623C" w:rsidRPr="00BD050D" w:rsidRDefault="00AB623C" w:rsidP="0098438D">
            <w:pPr>
              <w:spacing w:before="0"/>
              <w:rPr>
                <w:rFonts w:eastAsia="Times New Roman" w:cstheme="minorHAnsi"/>
                <w:spacing w:val="8"/>
                <w:sz w:val="24"/>
                <w:szCs w:val="24"/>
                <w:lang w:eastAsia="zh-CN"/>
              </w:rPr>
            </w:pPr>
            <w:r w:rsidRPr="00BD050D">
              <w:rPr>
                <w:rFonts w:cstheme="minorHAnsi"/>
                <w:b/>
                <w:bCs/>
                <w:sz w:val="24"/>
                <w:szCs w:val="24"/>
                <w:u w:val="single"/>
              </w:rPr>
              <w:t>Production in European Union</w:t>
            </w:r>
            <w:r w:rsidRPr="00BD050D">
              <w:rPr>
                <w:rFonts w:cstheme="minorHAnsi"/>
                <w:sz w:val="24"/>
                <w:szCs w:val="24"/>
              </w:rPr>
              <w:t xml:space="preserve"> In this field, the duty holder answers to the question: is the article produced or assembled in the EU? Allowed values: yes; no; unwilling to disclose</w:t>
            </w:r>
            <w:r w:rsidRPr="00BD050D">
              <w:rPr>
                <w:rFonts w:eastAsia="Times New Roman" w:cstheme="minorHAnsi"/>
                <w:spacing w:val="8"/>
                <w:sz w:val="24"/>
                <w:szCs w:val="24"/>
                <w:lang w:eastAsia="zh-CN"/>
              </w:rPr>
              <w:t xml:space="preserve">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022B036" w14:textId="184B17C2" w:rsidR="00AB623C" w:rsidRPr="00BD050D" w:rsidRDefault="00AB623C" w:rsidP="00464C60">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7B7507BA" w14:textId="77777777" w:rsidTr="00D6771C">
        <w:trPr>
          <w:trHeight w:val="320"/>
        </w:trPr>
        <w:tc>
          <w:tcPr>
            <w:tcW w:w="2065" w:type="dxa"/>
            <w:vMerge/>
            <w:tcBorders>
              <w:left w:val="single" w:sz="4" w:space="0" w:color="auto"/>
              <w:right w:val="single" w:sz="4" w:space="0" w:color="auto"/>
            </w:tcBorders>
            <w:shd w:val="clear" w:color="auto" w:fill="auto"/>
            <w:vAlign w:val="center"/>
          </w:tcPr>
          <w:p w14:paraId="33558CC5" w14:textId="2E1FD05B" w:rsidR="00AB623C" w:rsidRPr="00BD050D" w:rsidRDefault="00AB623C" w:rsidP="00AB623C">
            <w:pPr>
              <w:spacing w:before="0"/>
              <w:rPr>
                <w:rFonts w:eastAsia="Times New Roman" w:cstheme="minorHAnsi"/>
                <w:spacing w:val="8"/>
                <w:sz w:val="24"/>
                <w:szCs w:val="24"/>
                <w:lang w:eastAsia="zh-CN"/>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74062154" w14:textId="55E5B622" w:rsidR="00AB623C" w:rsidRPr="00BD050D" w:rsidRDefault="00AB623C" w:rsidP="00AB623C">
            <w:pPr>
              <w:spacing w:before="0"/>
              <w:rPr>
                <w:rFonts w:cstheme="minorHAnsi"/>
                <w:b/>
                <w:bCs/>
                <w:sz w:val="24"/>
                <w:szCs w:val="24"/>
                <w:u w:val="single"/>
              </w:rPr>
            </w:pPr>
            <w:r w:rsidRPr="00BD050D">
              <w:rPr>
                <w:rFonts w:cstheme="minorHAnsi"/>
                <w:b/>
                <w:bCs/>
                <w:sz w:val="24"/>
                <w:szCs w:val="24"/>
              </w:rPr>
              <w:t>Safe use information.</w:t>
            </w:r>
            <w:r w:rsidRPr="00BD050D">
              <w:rPr>
                <w:rFonts w:cstheme="minorHAnsi"/>
                <w:sz w:val="24"/>
                <w:szCs w:val="24"/>
              </w:rPr>
              <w:t xml:space="preserve"> It includes the possibility to state that there is “No need to provide safe use information beyond the identification of the Candidate List substance”.</w:t>
            </w:r>
          </w:p>
        </w:tc>
        <w:tc>
          <w:tcPr>
            <w:tcW w:w="990" w:type="dxa"/>
            <w:tcBorders>
              <w:top w:val="single" w:sz="4" w:space="0" w:color="auto"/>
              <w:left w:val="nil"/>
              <w:bottom w:val="single" w:sz="4" w:space="0" w:color="auto"/>
              <w:right w:val="single" w:sz="4" w:space="0" w:color="auto"/>
            </w:tcBorders>
            <w:shd w:val="clear" w:color="auto" w:fill="auto"/>
            <w:vAlign w:val="center"/>
          </w:tcPr>
          <w:p w14:paraId="2A398376" w14:textId="77777777" w:rsidR="00AB623C" w:rsidRPr="00BD050D" w:rsidRDefault="00AB623C" w:rsidP="00AB623C">
            <w:pPr>
              <w:spacing w:before="0"/>
              <w:jc w:val="center"/>
              <w:rPr>
                <w:rFonts w:eastAsia="Times New Roman" w:cstheme="minorHAnsi"/>
                <w:spacing w:val="8"/>
                <w:sz w:val="24"/>
                <w:szCs w:val="24"/>
                <w:lang w:eastAsia="zh-CN"/>
              </w:rPr>
            </w:pPr>
          </w:p>
        </w:tc>
      </w:tr>
      <w:tr w:rsidR="00BD050D" w:rsidRPr="00BD050D" w14:paraId="340900AD" w14:textId="77777777" w:rsidTr="00D6771C">
        <w:trPr>
          <w:trHeight w:val="320"/>
        </w:trPr>
        <w:tc>
          <w:tcPr>
            <w:tcW w:w="2065" w:type="dxa"/>
            <w:vMerge/>
            <w:tcBorders>
              <w:left w:val="single" w:sz="4" w:space="0" w:color="auto"/>
              <w:bottom w:val="single" w:sz="4" w:space="0" w:color="auto"/>
              <w:right w:val="single" w:sz="4" w:space="0" w:color="auto"/>
            </w:tcBorders>
            <w:shd w:val="clear" w:color="auto" w:fill="auto"/>
            <w:vAlign w:val="center"/>
          </w:tcPr>
          <w:p w14:paraId="6754A22B" w14:textId="15890748" w:rsidR="00AB623C" w:rsidRPr="00BD050D" w:rsidRDefault="00AB623C" w:rsidP="00AB623C">
            <w:pPr>
              <w:spacing w:before="0"/>
              <w:rPr>
                <w:rFonts w:eastAsia="Times New Roman" w:cstheme="minorHAnsi"/>
                <w:spacing w:val="8"/>
                <w:sz w:val="24"/>
                <w:szCs w:val="24"/>
                <w:lang w:eastAsia="zh-CN"/>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34DE39EB" w14:textId="1AEF0749" w:rsidR="00AB623C" w:rsidRPr="00BD050D" w:rsidRDefault="00AB623C" w:rsidP="00AB623C">
            <w:pPr>
              <w:spacing w:before="0"/>
              <w:rPr>
                <w:rFonts w:cstheme="minorHAnsi"/>
                <w:b/>
                <w:bCs/>
                <w:sz w:val="24"/>
                <w:szCs w:val="24"/>
                <w:u w:val="single"/>
              </w:rPr>
            </w:pPr>
            <w:r w:rsidRPr="00BD050D">
              <w:rPr>
                <w:rFonts w:cstheme="minorHAnsi"/>
                <w:b/>
                <w:bCs/>
                <w:sz w:val="24"/>
                <w:szCs w:val="24"/>
              </w:rPr>
              <w:t>Disassembling instructions</w:t>
            </w:r>
            <w:r w:rsidRPr="00BD050D">
              <w:rPr>
                <w:rFonts w:cstheme="minorHAnsi"/>
                <w:sz w:val="24"/>
                <w:szCs w:val="24"/>
              </w:rPr>
              <w:t xml:space="preserve"> document (</w:t>
            </w:r>
            <w:proofErr w:type="gramStart"/>
            <w:r w:rsidRPr="00BD050D">
              <w:rPr>
                <w:rFonts w:cstheme="minorHAnsi"/>
                <w:sz w:val="24"/>
                <w:szCs w:val="24"/>
              </w:rPr>
              <w:t>e.g.</w:t>
            </w:r>
            <w:proofErr w:type="gramEnd"/>
            <w:r w:rsidRPr="00BD050D">
              <w:rPr>
                <w:rFonts w:cstheme="minorHAnsi"/>
                <w:sz w:val="24"/>
                <w:szCs w:val="24"/>
              </w:rPr>
              <w:t xml:space="preserve"> pdf format). The indication of the language of the provided document is required.</w:t>
            </w:r>
          </w:p>
        </w:tc>
        <w:tc>
          <w:tcPr>
            <w:tcW w:w="990" w:type="dxa"/>
            <w:tcBorders>
              <w:top w:val="single" w:sz="4" w:space="0" w:color="auto"/>
              <w:left w:val="nil"/>
              <w:bottom w:val="single" w:sz="4" w:space="0" w:color="auto"/>
              <w:right w:val="single" w:sz="4" w:space="0" w:color="auto"/>
            </w:tcBorders>
            <w:shd w:val="clear" w:color="auto" w:fill="auto"/>
            <w:vAlign w:val="center"/>
          </w:tcPr>
          <w:p w14:paraId="4C60AE3C" w14:textId="77777777" w:rsidR="00AB623C" w:rsidRPr="00BD050D" w:rsidRDefault="00AB623C" w:rsidP="00AB623C">
            <w:pPr>
              <w:spacing w:before="0"/>
              <w:jc w:val="center"/>
              <w:rPr>
                <w:rFonts w:eastAsia="Times New Roman" w:cstheme="minorHAnsi"/>
                <w:spacing w:val="8"/>
                <w:sz w:val="24"/>
                <w:szCs w:val="24"/>
                <w:lang w:eastAsia="zh-CN"/>
              </w:rPr>
            </w:pPr>
          </w:p>
        </w:tc>
      </w:tr>
      <w:tr w:rsidR="00BD050D" w:rsidRPr="00BD050D" w14:paraId="224D88E0" w14:textId="77777777" w:rsidTr="00D6771C">
        <w:trPr>
          <w:trHeight w:val="320"/>
        </w:trPr>
        <w:tc>
          <w:tcPr>
            <w:tcW w:w="2065" w:type="dxa"/>
            <w:vMerge w:val="restart"/>
            <w:tcBorders>
              <w:top w:val="single" w:sz="4" w:space="0" w:color="auto"/>
              <w:left w:val="single" w:sz="4" w:space="0" w:color="auto"/>
              <w:right w:val="single" w:sz="4" w:space="0" w:color="auto"/>
            </w:tcBorders>
            <w:shd w:val="clear" w:color="auto" w:fill="auto"/>
            <w:vAlign w:val="center"/>
          </w:tcPr>
          <w:p w14:paraId="3D010BB9" w14:textId="18F94558" w:rsidR="00AB623C" w:rsidRPr="00BD050D" w:rsidRDefault="00AB623C" w:rsidP="00AB623C">
            <w:pPr>
              <w:spacing w:before="0"/>
              <w:rPr>
                <w:rFonts w:cstheme="minorHAnsi"/>
                <w:sz w:val="24"/>
                <w:szCs w:val="24"/>
              </w:rPr>
            </w:pPr>
            <w:r w:rsidRPr="00BD050D">
              <w:rPr>
                <w:rFonts w:cstheme="minorHAnsi"/>
                <w:sz w:val="24"/>
                <w:szCs w:val="24"/>
              </w:rPr>
              <w:t>Additional requirements for complex objects only</w:t>
            </w:r>
          </w:p>
        </w:tc>
        <w:tc>
          <w:tcPr>
            <w:tcW w:w="5940" w:type="dxa"/>
            <w:tcBorders>
              <w:top w:val="single" w:sz="4" w:space="0" w:color="auto"/>
              <w:left w:val="nil"/>
              <w:bottom w:val="single" w:sz="4" w:space="0" w:color="auto"/>
              <w:right w:val="single" w:sz="4" w:space="0" w:color="auto"/>
            </w:tcBorders>
            <w:shd w:val="clear" w:color="auto" w:fill="auto"/>
            <w:vAlign w:val="center"/>
          </w:tcPr>
          <w:p w14:paraId="6C2B7E90" w14:textId="61C7767C" w:rsidR="00AB623C" w:rsidRPr="00BD050D" w:rsidRDefault="00AB623C" w:rsidP="00AB623C">
            <w:pPr>
              <w:spacing w:before="0"/>
              <w:rPr>
                <w:rFonts w:eastAsia="Times New Roman" w:cstheme="minorHAnsi"/>
                <w:spacing w:val="8"/>
                <w:sz w:val="24"/>
                <w:szCs w:val="24"/>
                <w:lang w:eastAsia="zh-CN"/>
              </w:rPr>
            </w:pPr>
            <w:r w:rsidRPr="00BD050D">
              <w:rPr>
                <w:rFonts w:cstheme="minorHAnsi"/>
                <w:sz w:val="24"/>
                <w:szCs w:val="24"/>
              </w:rPr>
              <w:t>Add a link to an existing article or create a new article or a complex object to link with this complex object.</w:t>
            </w:r>
          </w:p>
        </w:tc>
        <w:tc>
          <w:tcPr>
            <w:tcW w:w="990" w:type="dxa"/>
            <w:tcBorders>
              <w:top w:val="single" w:sz="4" w:space="0" w:color="auto"/>
              <w:left w:val="nil"/>
              <w:bottom w:val="single" w:sz="4" w:space="0" w:color="auto"/>
              <w:right w:val="single" w:sz="4" w:space="0" w:color="auto"/>
            </w:tcBorders>
            <w:shd w:val="clear" w:color="auto" w:fill="auto"/>
            <w:vAlign w:val="center"/>
          </w:tcPr>
          <w:p w14:paraId="5BA349A8" w14:textId="6657E41B" w:rsidR="00AB623C" w:rsidRPr="00BD050D" w:rsidRDefault="00AB623C"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629AC7C7" w14:textId="77777777" w:rsidTr="00D6771C">
        <w:trPr>
          <w:trHeight w:val="665"/>
        </w:trPr>
        <w:tc>
          <w:tcPr>
            <w:tcW w:w="2065" w:type="dxa"/>
            <w:vMerge/>
            <w:tcBorders>
              <w:left w:val="single" w:sz="4" w:space="0" w:color="auto"/>
              <w:right w:val="single" w:sz="4" w:space="0" w:color="auto"/>
            </w:tcBorders>
            <w:shd w:val="clear" w:color="auto" w:fill="auto"/>
            <w:vAlign w:val="center"/>
          </w:tcPr>
          <w:p w14:paraId="2B45134C" w14:textId="114F6170" w:rsidR="00AB623C" w:rsidRPr="00BD050D" w:rsidRDefault="00AB623C" w:rsidP="00AB623C">
            <w:pPr>
              <w:spacing w:before="0"/>
              <w:rPr>
                <w:rFonts w:cstheme="minorHAnsi"/>
                <w:sz w:val="24"/>
                <w:szCs w:val="24"/>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14020AAD" w14:textId="0C2EBADD" w:rsidR="00AB623C" w:rsidRPr="00BD050D" w:rsidRDefault="00AB623C" w:rsidP="00AB623C">
            <w:pPr>
              <w:spacing w:before="0"/>
              <w:rPr>
                <w:rFonts w:eastAsia="Times New Roman" w:cstheme="minorHAnsi"/>
                <w:spacing w:val="8"/>
                <w:sz w:val="24"/>
                <w:szCs w:val="24"/>
                <w:lang w:eastAsia="zh-CN"/>
              </w:rPr>
            </w:pPr>
            <w:r w:rsidRPr="00BD050D">
              <w:rPr>
                <w:rFonts w:cstheme="minorHAnsi"/>
                <w:sz w:val="24"/>
                <w:szCs w:val="24"/>
              </w:rPr>
              <w:t>Number of occurrences of the linked article in the complex object</w:t>
            </w:r>
          </w:p>
        </w:tc>
        <w:tc>
          <w:tcPr>
            <w:tcW w:w="990" w:type="dxa"/>
            <w:tcBorders>
              <w:top w:val="single" w:sz="4" w:space="0" w:color="auto"/>
              <w:left w:val="nil"/>
              <w:bottom w:val="single" w:sz="4" w:space="0" w:color="auto"/>
              <w:right w:val="single" w:sz="4" w:space="0" w:color="auto"/>
            </w:tcBorders>
            <w:shd w:val="clear" w:color="auto" w:fill="auto"/>
            <w:vAlign w:val="center"/>
          </w:tcPr>
          <w:p w14:paraId="2D604DF0" w14:textId="40FD1699" w:rsidR="00AB623C" w:rsidRPr="00BD050D" w:rsidRDefault="00AB623C"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5D860864" w14:textId="77777777" w:rsidTr="00D6771C">
        <w:trPr>
          <w:trHeight w:val="320"/>
        </w:trPr>
        <w:tc>
          <w:tcPr>
            <w:tcW w:w="2065" w:type="dxa"/>
            <w:vMerge w:val="restart"/>
            <w:tcBorders>
              <w:top w:val="single" w:sz="4" w:space="0" w:color="auto"/>
              <w:left w:val="single" w:sz="4" w:space="0" w:color="auto"/>
              <w:right w:val="single" w:sz="4" w:space="0" w:color="auto"/>
            </w:tcBorders>
            <w:shd w:val="clear" w:color="auto" w:fill="auto"/>
            <w:vAlign w:val="center"/>
          </w:tcPr>
          <w:p w14:paraId="496933A7" w14:textId="042CA78C" w:rsidR="00AB623C" w:rsidRPr="00BD050D" w:rsidRDefault="00AB623C" w:rsidP="00AB623C">
            <w:pPr>
              <w:spacing w:before="0"/>
              <w:rPr>
                <w:rFonts w:cstheme="minorHAnsi"/>
                <w:sz w:val="24"/>
                <w:szCs w:val="24"/>
              </w:rPr>
            </w:pPr>
            <w:r w:rsidRPr="00BD050D">
              <w:rPr>
                <w:rFonts w:cstheme="minorHAnsi"/>
                <w:sz w:val="24"/>
                <w:szCs w:val="24"/>
              </w:rPr>
              <w:t>Additional requirements for articles as such only (concern elements</w:t>
            </w:r>
          </w:p>
        </w:tc>
        <w:tc>
          <w:tcPr>
            <w:tcW w:w="5940" w:type="dxa"/>
            <w:tcBorders>
              <w:top w:val="single" w:sz="4" w:space="0" w:color="auto"/>
              <w:left w:val="nil"/>
              <w:bottom w:val="single" w:sz="4" w:space="0" w:color="auto"/>
              <w:right w:val="single" w:sz="4" w:space="0" w:color="auto"/>
            </w:tcBorders>
            <w:shd w:val="clear" w:color="auto" w:fill="auto"/>
            <w:vAlign w:val="center"/>
          </w:tcPr>
          <w:p w14:paraId="63EF7A63" w14:textId="499920D2" w:rsidR="00AB623C" w:rsidRPr="00BD050D" w:rsidRDefault="009B48F8" w:rsidP="009B48F8">
            <w:pPr>
              <w:spacing w:before="0"/>
              <w:rPr>
                <w:rFonts w:cstheme="minorHAnsi"/>
                <w:sz w:val="24"/>
                <w:szCs w:val="24"/>
              </w:rPr>
            </w:pPr>
            <w:r w:rsidRPr="00BD050D">
              <w:rPr>
                <w:rFonts w:cstheme="minorHAnsi"/>
                <w:b/>
                <w:bCs/>
                <w:sz w:val="24"/>
                <w:szCs w:val="24"/>
              </w:rPr>
              <w:t>Candidate List (CL) substance</w:t>
            </w:r>
            <w:r w:rsidRPr="00BD050D">
              <w:rPr>
                <w:rFonts w:cstheme="minorHAnsi"/>
                <w:sz w:val="24"/>
                <w:szCs w:val="24"/>
              </w:rPr>
              <w:t xml:space="preserve"> (name; EC and CAS no., if available), using a IUCLID reference substance identity part of ECHA’s ‘Candidate List (Reference Substances) Package’</w:t>
            </w:r>
          </w:p>
        </w:tc>
        <w:tc>
          <w:tcPr>
            <w:tcW w:w="990" w:type="dxa"/>
            <w:tcBorders>
              <w:top w:val="single" w:sz="4" w:space="0" w:color="auto"/>
              <w:left w:val="nil"/>
              <w:bottom w:val="single" w:sz="4" w:space="0" w:color="auto"/>
              <w:right w:val="single" w:sz="4" w:space="0" w:color="auto"/>
            </w:tcBorders>
            <w:shd w:val="clear" w:color="auto" w:fill="auto"/>
            <w:vAlign w:val="center"/>
          </w:tcPr>
          <w:p w14:paraId="7537174E" w14:textId="45E66B2D" w:rsidR="00AB623C" w:rsidRPr="00BD050D" w:rsidRDefault="008F4997"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7C913B23" w14:textId="77777777" w:rsidTr="00D6771C">
        <w:trPr>
          <w:trHeight w:val="320"/>
        </w:trPr>
        <w:tc>
          <w:tcPr>
            <w:tcW w:w="2065" w:type="dxa"/>
            <w:vMerge/>
            <w:tcBorders>
              <w:left w:val="single" w:sz="4" w:space="0" w:color="auto"/>
              <w:right w:val="single" w:sz="4" w:space="0" w:color="auto"/>
            </w:tcBorders>
            <w:shd w:val="clear" w:color="auto" w:fill="auto"/>
            <w:vAlign w:val="center"/>
          </w:tcPr>
          <w:p w14:paraId="79FCC44F" w14:textId="6A563BA7" w:rsidR="00AB623C" w:rsidRPr="00BD050D" w:rsidRDefault="00AB623C" w:rsidP="00AB623C">
            <w:pPr>
              <w:spacing w:before="0"/>
              <w:rPr>
                <w:rFonts w:cstheme="minorHAnsi"/>
                <w:sz w:val="24"/>
                <w:szCs w:val="24"/>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25B119B5" w14:textId="7712B690" w:rsidR="009B48F8" w:rsidRPr="00BD050D" w:rsidRDefault="009B48F8" w:rsidP="009B48F8">
            <w:pPr>
              <w:spacing w:before="0"/>
              <w:rPr>
                <w:rFonts w:cstheme="minorHAnsi"/>
                <w:sz w:val="24"/>
                <w:szCs w:val="24"/>
              </w:rPr>
            </w:pPr>
            <w:r w:rsidRPr="00BD050D">
              <w:rPr>
                <w:rFonts w:cstheme="minorHAnsi"/>
                <w:b/>
                <w:bCs/>
                <w:sz w:val="24"/>
                <w:szCs w:val="24"/>
              </w:rPr>
              <w:t>CL concentration ranges of the substance</w:t>
            </w:r>
            <w:r w:rsidRPr="00BD050D">
              <w:rPr>
                <w:rFonts w:cstheme="minorHAnsi"/>
                <w:sz w:val="24"/>
                <w:szCs w:val="24"/>
              </w:rPr>
              <w:t xml:space="preserve"> in the article: </w:t>
            </w:r>
          </w:p>
          <w:p w14:paraId="7103FEAF" w14:textId="2C337116" w:rsidR="00AB623C" w:rsidRPr="00BD050D" w:rsidRDefault="009B48F8" w:rsidP="009B48F8">
            <w:pPr>
              <w:spacing w:before="0"/>
              <w:rPr>
                <w:rFonts w:cstheme="minorHAnsi"/>
                <w:sz w:val="24"/>
                <w:szCs w:val="24"/>
              </w:rPr>
            </w:pPr>
            <w:r w:rsidRPr="00BD050D">
              <w:rPr>
                <w:rFonts w:cstheme="minorHAnsi"/>
                <w:sz w:val="24"/>
                <w:szCs w:val="24"/>
              </w:rPr>
              <w:t>&gt; 0.1% w/w and &lt; 0.3% w/w; ≥ 0.3% w/w and &lt; 1.0% w/w; ≥ 1.0% w/w and &lt; 10.0% w/</w:t>
            </w:r>
            <w:proofErr w:type="gramStart"/>
            <w:r w:rsidRPr="00BD050D">
              <w:rPr>
                <w:rFonts w:cstheme="minorHAnsi"/>
                <w:sz w:val="24"/>
                <w:szCs w:val="24"/>
              </w:rPr>
              <w:t>w;  ≥</w:t>
            </w:r>
            <w:proofErr w:type="gramEnd"/>
            <w:r w:rsidRPr="00BD050D">
              <w:rPr>
                <w:rFonts w:cstheme="minorHAnsi"/>
                <w:sz w:val="24"/>
                <w:szCs w:val="24"/>
              </w:rPr>
              <w:t xml:space="preserve"> 10.0% w/w and &lt; 20.0% w/w;  ≥ 20.0% w/w and &lt; 100% w/w; &gt; 0.1% w/w and ≤ 100% w/w. </w:t>
            </w:r>
          </w:p>
        </w:tc>
        <w:tc>
          <w:tcPr>
            <w:tcW w:w="990" w:type="dxa"/>
            <w:tcBorders>
              <w:top w:val="single" w:sz="4" w:space="0" w:color="auto"/>
              <w:left w:val="nil"/>
              <w:bottom w:val="single" w:sz="4" w:space="0" w:color="auto"/>
              <w:right w:val="single" w:sz="4" w:space="0" w:color="auto"/>
            </w:tcBorders>
            <w:shd w:val="clear" w:color="auto" w:fill="auto"/>
            <w:vAlign w:val="center"/>
          </w:tcPr>
          <w:p w14:paraId="414E86AC" w14:textId="268105E5" w:rsidR="00AB623C" w:rsidRPr="00BD050D" w:rsidRDefault="008F4997"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77978AAB" w14:textId="77777777" w:rsidTr="00D6771C">
        <w:trPr>
          <w:trHeight w:val="320"/>
        </w:trPr>
        <w:tc>
          <w:tcPr>
            <w:tcW w:w="2065" w:type="dxa"/>
            <w:vMerge/>
            <w:tcBorders>
              <w:left w:val="single" w:sz="4" w:space="0" w:color="auto"/>
              <w:right w:val="single" w:sz="4" w:space="0" w:color="auto"/>
            </w:tcBorders>
            <w:shd w:val="clear" w:color="auto" w:fill="auto"/>
            <w:vAlign w:val="center"/>
          </w:tcPr>
          <w:p w14:paraId="4B814013" w14:textId="7F7D5E8E" w:rsidR="00AB623C" w:rsidRPr="00BD050D" w:rsidRDefault="00AB623C" w:rsidP="00AB623C">
            <w:pPr>
              <w:spacing w:before="0"/>
              <w:rPr>
                <w:rFonts w:cstheme="minorHAnsi"/>
                <w:sz w:val="24"/>
                <w:szCs w:val="24"/>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3883E75A" w14:textId="550E99E9" w:rsidR="00AB623C" w:rsidRPr="00BD050D" w:rsidRDefault="008F4997" w:rsidP="009B48F8">
            <w:pPr>
              <w:pStyle w:val="Default"/>
              <w:rPr>
                <w:rFonts w:asciiTheme="minorHAnsi" w:hAnsiTheme="minorHAnsi" w:cstheme="minorHAnsi"/>
                <w:color w:val="auto"/>
              </w:rPr>
            </w:pPr>
            <w:r w:rsidRPr="00BD050D">
              <w:rPr>
                <w:rFonts w:asciiTheme="minorHAnsi" w:hAnsiTheme="minorHAnsi" w:cstheme="minorHAnsi"/>
                <w:b/>
                <w:bCs/>
                <w:color w:val="auto"/>
                <w:u w:val="single"/>
                <w:lang w:val="en-US"/>
              </w:rPr>
              <w:t>Material category</w:t>
            </w:r>
            <w:r w:rsidRPr="00BD050D">
              <w:rPr>
                <w:rFonts w:asciiTheme="minorHAnsi" w:hAnsiTheme="minorHAnsi" w:cstheme="minorHAnsi"/>
                <w:color w:val="auto"/>
              </w:rPr>
              <w:t xml:space="preserve"> </w:t>
            </w:r>
            <w:r w:rsidR="009B48F8" w:rsidRPr="00BD050D">
              <w:rPr>
                <w:rFonts w:asciiTheme="minorHAnsi" w:hAnsiTheme="minorHAnsi" w:cstheme="minorHAnsi"/>
                <w:color w:val="auto"/>
                <w:lang w:val="en-US"/>
              </w:rPr>
              <w:t xml:space="preserve">Identification of the material the article (containing the Candidate List substance) is made of from a list to be provided by ECHA. </w:t>
            </w:r>
          </w:p>
        </w:tc>
        <w:tc>
          <w:tcPr>
            <w:tcW w:w="990" w:type="dxa"/>
            <w:tcBorders>
              <w:top w:val="single" w:sz="4" w:space="0" w:color="auto"/>
              <w:left w:val="nil"/>
              <w:bottom w:val="single" w:sz="4" w:space="0" w:color="auto"/>
              <w:right w:val="single" w:sz="4" w:space="0" w:color="auto"/>
            </w:tcBorders>
            <w:shd w:val="clear" w:color="auto" w:fill="auto"/>
            <w:vAlign w:val="center"/>
          </w:tcPr>
          <w:p w14:paraId="374F485B" w14:textId="3CD427EC" w:rsidR="00AB623C" w:rsidRPr="00BD050D" w:rsidRDefault="00AB623C"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r w:rsidR="00BD050D" w:rsidRPr="00BD050D" w14:paraId="56540579" w14:textId="77777777" w:rsidTr="00D6771C">
        <w:trPr>
          <w:trHeight w:val="320"/>
        </w:trPr>
        <w:tc>
          <w:tcPr>
            <w:tcW w:w="2065" w:type="dxa"/>
            <w:vMerge/>
            <w:tcBorders>
              <w:left w:val="single" w:sz="4" w:space="0" w:color="auto"/>
              <w:bottom w:val="single" w:sz="4" w:space="0" w:color="auto"/>
              <w:right w:val="single" w:sz="4" w:space="0" w:color="auto"/>
            </w:tcBorders>
            <w:shd w:val="clear" w:color="auto" w:fill="auto"/>
            <w:vAlign w:val="center"/>
          </w:tcPr>
          <w:p w14:paraId="0BAFCA7E" w14:textId="00E036F4" w:rsidR="00AB623C" w:rsidRPr="00BD050D" w:rsidRDefault="00AB623C" w:rsidP="00AB623C">
            <w:pPr>
              <w:spacing w:before="0"/>
              <w:rPr>
                <w:rFonts w:cstheme="minorHAnsi"/>
                <w:sz w:val="24"/>
                <w:szCs w:val="24"/>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71F80DBA" w14:textId="0C839CCD" w:rsidR="00AB623C" w:rsidRPr="00BD050D" w:rsidRDefault="008F4997" w:rsidP="009B48F8">
            <w:pPr>
              <w:pStyle w:val="Default"/>
              <w:rPr>
                <w:rFonts w:asciiTheme="minorHAnsi" w:hAnsiTheme="minorHAnsi" w:cstheme="minorHAnsi"/>
                <w:color w:val="auto"/>
              </w:rPr>
            </w:pPr>
            <w:r w:rsidRPr="00BD050D">
              <w:rPr>
                <w:rFonts w:asciiTheme="minorHAnsi" w:hAnsiTheme="minorHAnsi" w:cstheme="minorHAnsi"/>
                <w:b/>
                <w:bCs/>
                <w:color w:val="auto"/>
                <w:lang w:val="en-US"/>
              </w:rPr>
              <w:t>Mixture category</w:t>
            </w:r>
            <w:r w:rsidRPr="00BD050D">
              <w:rPr>
                <w:rFonts w:asciiTheme="minorHAnsi" w:hAnsiTheme="minorHAnsi" w:cstheme="minorHAnsi"/>
                <w:color w:val="auto"/>
                <w:lang w:val="en-US"/>
              </w:rPr>
              <w:t xml:space="preserve"> </w:t>
            </w:r>
            <w:r w:rsidR="009B48F8" w:rsidRPr="00BD050D">
              <w:rPr>
                <w:rFonts w:asciiTheme="minorHAnsi" w:hAnsiTheme="minorHAnsi" w:cstheme="minorHAnsi"/>
                <w:color w:val="auto"/>
                <w:lang w:val="en-US"/>
              </w:rPr>
              <w:t xml:space="preserve">Identification of the mixture category from the European product </w:t>
            </w:r>
            <w:proofErr w:type="spellStart"/>
            <w:r w:rsidR="009B48F8" w:rsidRPr="00BD050D">
              <w:rPr>
                <w:rFonts w:asciiTheme="minorHAnsi" w:hAnsiTheme="minorHAnsi" w:cstheme="minorHAnsi"/>
                <w:color w:val="auto"/>
                <w:lang w:val="en-US"/>
              </w:rPr>
              <w:t>categorisation</w:t>
            </w:r>
            <w:proofErr w:type="spellEnd"/>
            <w:r w:rsidR="009B48F8" w:rsidRPr="00BD050D">
              <w:rPr>
                <w:rFonts w:asciiTheme="minorHAnsi" w:hAnsiTheme="minorHAnsi" w:cstheme="minorHAnsi"/>
                <w:color w:val="auto"/>
                <w:lang w:val="en-US"/>
              </w:rPr>
              <w:t xml:space="preserve"> system (</w:t>
            </w:r>
            <w:proofErr w:type="spellStart"/>
            <w:r w:rsidR="002377FB" w:rsidRPr="00BD050D">
              <w:rPr>
                <w:color w:val="auto"/>
              </w:rPr>
              <w:fldChar w:fldCharType="begin"/>
            </w:r>
            <w:r w:rsidR="002377FB" w:rsidRPr="00BD050D">
              <w:rPr>
                <w:rFonts w:asciiTheme="minorHAnsi" w:hAnsiTheme="minorHAnsi" w:cstheme="minorHAnsi"/>
                <w:color w:val="auto"/>
              </w:rPr>
              <w:instrText xml:space="preserve"> HYPERLINK "https://poisoncentres.echa.europa.eu/eu-product-categorisation-system" </w:instrText>
            </w:r>
            <w:r w:rsidR="002377FB" w:rsidRPr="00BD050D">
              <w:rPr>
                <w:color w:val="auto"/>
              </w:rPr>
            </w:r>
            <w:r w:rsidR="002377FB" w:rsidRPr="00BD050D">
              <w:rPr>
                <w:color w:val="auto"/>
              </w:rPr>
              <w:fldChar w:fldCharType="separate"/>
            </w:r>
            <w:r w:rsidR="009B48F8" w:rsidRPr="00BD050D">
              <w:rPr>
                <w:rStyle w:val="Hyperlink"/>
                <w:rFonts w:asciiTheme="minorHAnsi" w:hAnsiTheme="minorHAnsi" w:cstheme="minorHAnsi"/>
                <w:color w:val="auto"/>
                <w:lang w:val="en-US"/>
              </w:rPr>
              <w:t>EuPCS</w:t>
            </w:r>
            <w:proofErr w:type="spellEnd"/>
            <w:r w:rsidR="002377FB" w:rsidRPr="00BD050D">
              <w:rPr>
                <w:rStyle w:val="Hyperlink"/>
                <w:rFonts w:asciiTheme="minorHAnsi" w:hAnsiTheme="minorHAnsi" w:cstheme="minorHAnsi"/>
                <w:color w:val="auto"/>
                <w:lang w:val="en-US"/>
              </w:rPr>
              <w:fldChar w:fldCharType="end"/>
            </w:r>
            <w:r w:rsidR="009B48F8" w:rsidRPr="00BD050D">
              <w:rPr>
                <w:rFonts w:asciiTheme="minorHAnsi" w:hAnsiTheme="minorHAnsi" w:cstheme="minorHAnsi"/>
                <w:color w:val="auto"/>
                <w:lang w:val="en-US"/>
              </w:rPr>
              <w:t>) containing the Candidate List substance(s) incorporated in the further processing step (e.g. coating) of an article or incorporated when joining or assembling two or more articles in a complex object (e.g. adhesive, solder).</w:t>
            </w:r>
            <w:r w:rsidR="009B48F8" w:rsidRPr="00BD050D">
              <w:rPr>
                <w:rFonts w:asciiTheme="minorHAnsi" w:hAnsiTheme="minorHAnsi" w:cstheme="minorHAnsi"/>
                <w:color w:val="auto"/>
              </w:rPr>
              <w:t xml:space="preserve"> </w:t>
            </w:r>
          </w:p>
        </w:tc>
        <w:tc>
          <w:tcPr>
            <w:tcW w:w="990" w:type="dxa"/>
            <w:tcBorders>
              <w:top w:val="single" w:sz="4" w:space="0" w:color="auto"/>
              <w:left w:val="nil"/>
              <w:bottom w:val="single" w:sz="4" w:space="0" w:color="auto"/>
              <w:right w:val="single" w:sz="4" w:space="0" w:color="auto"/>
            </w:tcBorders>
            <w:shd w:val="clear" w:color="auto" w:fill="auto"/>
            <w:vAlign w:val="center"/>
          </w:tcPr>
          <w:p w14:paraId="54337D20" w14:textId="7A9BE63A" w:rsidR="00AB623C" w:rsidRPr="00BD050D" w:rsidRDefault="00AB623C" w:rsidP="00AB623C">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r>
    </w:tbl>
    <w:p w14:paraId="74ABDD70" w14:textId="37E03A95" w:rsidR="001C184C" w:rsidRPr="00BD050D" w:rsidRDefault="00E842E2" w:rsidP="00BD050D">
      <w:pPr>
        <w:snapToGrid w:val="0"/>
        <w:spacing w:before="100" w:after="200"/>
        <w:jc w:val="center"/>
        <w:rPr>
          <w:rFonts w:eastAsia="Times New Roman" w:cstheme="minorHAnsi"/>
          <w:bCs/>
          <w:spacing w:val="8"/>
          <w:sz w:val="24"/>
          <w:szCs w:val="24"/>
          <w:lang w:eastAsia="zh-CN"/>
        </w:rPr>
      </w:pPr>
      <w:r w:rsidRPr="00BD050D">
        <w:rPr>
          <w:rFonts w:cstheme="minorHAnsi"/>
          <w:sz w:val="24"/>
          <w:szCs w:val="24"/>
        </w:rPr>
        <w:t>Table 1 Information requirements for Article (EU SCIP)</w:t>
      </w:r>
    </w:p>
    <w:p w14:paraId="001B28CE" w14:textId="6AF367DD" w:rsidR="00A75BD9" w:rsidRDefault="00A75BD9" w:rsidP="001C66E0">
      <w:pPr>
        <w:snapToGrid w:val="0"/>
        <w:spacing w:before="100" w:after="200"/>
        <w:jc w:val="both"/>
        <w:rPr>
          <w:rFonts w:eastAsia="Times New Roman" w:cstheme="minorHAnsi"/>
          <w:spacing w:val="8"/>
          <w:sz w:val="24"/>
          <w:szCs w:val="24"/>
          <w:lang w:eastAsia="zh-CN"/>
        </w:rPr>
      </w:pPr>
    </w:p>
    <w:p w14:paraId="16E48B97" w14:textId="58CBCE89" w:rsidR="00A75BD9" w:rsidRDefault="00A75BD9" w:rsidP="001C66E0">
      <w:pPr>
        <w:snapToGrid w:val="0"/>
        <w:spacing w:before="100" w:after="200"/>
        <w:jc w:val="both"/>
        <w:rPr>
          <w:rFonts w:eastAsia="Times New Roman" w:cstheme="minorHAnsi"/>
          <w:spacing w:val="8"/>
          <w:sz w:val="24"/>
          <w:szCs w:val="24"/>
          <w:lang w:eastAsia="zh-CN"/>
        </w:rPr>
      </w:pPr>
    </w:p>
    <w:p w14:paraId="1DBF3DD4" w14:textId="4CB3C29C" w:rsidR="00A75BD9" w:rsidRDefault="00A75BD9" w:rsidP="001C66E0">
      <w:pPr>
        <w:snapToGrid w:val="0"/>
        <w:spacing w:before="100" w:after="200"/>
        <w:jc w:val="both"/>
        <w:rPr>
          <w:rFonts w:eastAsia="Times New Roman" w:cstheme="minorHAnsi"/>
          <w:spacing w:val="8"/>
          <w:sz w:val="24"/>
          <w:szCs w:val="24"/>
          <w:lang w:eastAsia="zh-CN"/>
        </w:rPr>
      </w:pPr>
    </w:p>
    <w:p w14:paraId="273DB749" w14:textId="05AD327B" w:rsidR="00A75BD9" w:rsidRDefault="00A75BD9" w:rsidP="001C66E0">
      <w:pPr>
        <w:snapToGrid w:val="0"/>
        <w:spacing w:before="100" w:after="200"/>
        <w:jc w:val="both"/>
        <w:rPr>
          <w:rFonts w:eastAsia="Times New Roman" w:cstheme="minorHAnsi"/>
          <w:spacing w:val="8"/>
          <w:sz w:val="24"/>
          <w:szCs w:val="24"/>
          <w:lang w:eastAsia="zh-CN"/>
        </w:rPr>
      </w:pPr>
    </w:p>
    <w:p w14:paraId="60764CAF" w14:textId="3568B1A9" w:rsidR="00A75BD9" w:rsidRDefault="00A75BD9" w:rsidP="001C66E0">
      <w:pPr>
        <w:snapToGrid w:val="0"/>
        <w:spacing w:before="100" w:after="200"/>
        <w:jc w:val="both"/>
        <w:rPr>
          <w:rFonts w:eastAsia="Times New Roman" w:cstheme="minorHAnsi"/>
          <w:spacing w:val="8"/>
          <w:sz w:val="24"/>
          <w:szCs w:val="24"/>
          <w:lang w:eastAsia="zh-CN"/>
        </w:rPr>
      </w:pPr>
    </w:p>
    <w:p w14:paraId="0C74834E" w14:textId="6CDDF1D1" w:rsidR="00A75BD9" w:rsidRDefault="00A75BD9" w:rsidP="001C66E0">
      <w:pPr>
        <w:snapToGrid w:val="0"/>
        <w:spacing w:before="100" w:after="200"/>
        <w:jc w:val="both"/>
        <w:rPr>
          <w:rFonts w:eastAsia="Times New Roman" w:cstheme="minorHAnsi"/>
          <w:spacing w:val="8"/>
          <w:sz w:val="24"/>
          <w:szCs w:val="24"/>
          <w:lang w:eastAsia="zh-CN"/>
        </w:rPr>
      </w:pPr>
    </w:p>
    <w:p w14:paraId="1992DEC2" w14:textId="32786775" w:rsidR="00A75BD9" w:rsidRDefault="00A75BD9" w:rsidP="001C66E0">
      <w:pPr>
        <w:snapToGrid w:val="0"/>
        <w:spacing w:before="100" w:after="200"/>
        <w:jc w:val="both"/>
        <w:rPr>
          <w:rFonts w:eastAsia="Times New Roman" w:cstheme="minorHAnsi"/>
          <w:spacing w:val="8"/>
          <w:sz w:val="24"/>
          <w:szCs w:val="24"/>
          <w:lang w:eastAsia="zh-CN"/>
        </w:rPr>
      </w:pPr>
    </w:p>
    <w:p w14:paraId="5025C912" w14:textId="77777777" w:rsidR="00A75BD9" w:rsidRDefault="00A75BD9" w:rsidP="001C66E0">
      <w:pPr>
        <w:snapToGrid w:val="0"/>
        <w:spacing w:before="100" w:after="200"/>
        <w:jc w:val="both"/>
        <w:rPr>
          <w:rFonts w:eastAsia="Times New Roman" w:cstheme="minorHAnsi"/>
          <w:spacing w:val="8"/>
          <w:sz w:val="24"/>
          <w:szCs w:val="24"/>
          <w:lang w:eastAsia="zh-CN"/>
        </w:rPr>
      </w:pPr>
    </w:p>
    <w:p w14:paraId="61BA7101" w14:textId="6A3EA3B4" w:rsidR="00500E46" w:rsidRPr="00BD050D" w:rsidRDefault="00593533" w:rsidP="001C66E0">
      <w:pPr>
        <w:snapToGrid w:val="0"/>
        <w:spacing w:before="100" w:after="200"/>
        <w:jc w:val="both"/>
        <w:rPr>
          <w:rFonts w:eastAsia="Times New Roman" w:cstheme="minorHAnsi"/>
          <w:spacing w:val="8"/>
          <w:sz w:val="24"/>
          <w:szCs w:val="24"/>
          <w:lang w:eastAsia="zh-CN"/>
        </w:rPr>
      </w:pPr>
      <w:r w:rsidRPr="00BD050D">
        <w:rPr>
          <w:rFonts w:eastAsia="Times New Roman" w:cstheme="minorHAnsi"/>
          <w:spacing w:val="8"/>
          <w:sz w:val="24"/>
          <w:szCs w:val="24"/>
          <w:lang w:eastAsia="zh-CN"/>
        </w:rPr>
        <w:t xml:space="preserve">IPC-1754 Amendment 2 includes the </w:t>
      </w:r>
      <w:r w:rsidR="00FE0DD1" w:rsidRPr="00BD050D">
        <w:rPr>
          <w:rFonts w:eastAsia="Times New Roman" w:cstheme="minorHAnsi"/>
          <w:spacing w:val="8"/>
          <w:sz w:val="24"/>
          <w:szCs w:val="24"/>
          <w:lang w:eastAsia="zh-CN"/>
        </w:rPr>
        <w:t xml:space="preserve">additional </w:t>
      </w:r>
      <w:r w:rsidRPr="00BD050D">
        <w:rPr>
          <w:rFonts w:eastAsia="Times New Roman" w:cstheme="minorHAnsi"/>
          <w:spacing w:val="8"/>
          <w:sz w:val="24"/>
          <w:szCs w:val="24"/>
          <w:lang w:eastAsia="zh-CN"/>
        </w:rPr>
        <w:t>SCIP mandatory fields into its data exchange schem</w:t>
      </w:r>
      <w:r w:rsidR="00E842E2" w:rsidRPr="00BD050D">
        <w:rPr>
          <w:rFonts w:eastAsia="Times New Roman" w:cstheme="minorHAnsi"/>
          <w:spacing w:val="8"/>
          <w:sz w:val="24"/>
          <w:szCs w:val="24"/>
          <w:lang w:eastAsia="zh-CN"/>
        </w:rPr>
        <w:t>a</w:t>
      </w:r>
      <w:r w:rsidRPr="00BD050D">
        <w:rPr>
          <w:rFonts w:eastAsia="Times New Roman" w:cstheme="minorHAnsi"/>
          <w:spacing w:val="8"/>
          <w:sz w:val="24"/>
          <w:szCs w:val="24"/>
          <w:lang w:eastAsia="zh-CN"/>
        </w:rPr>
        <w:t xml:space="preserve"> as optional fields. </w:t>
      </w:r>
      <w:r w:rsidR="00FE0DD1" w:rsidRPr="00BD050D">
        <w:rPr>
          <w:rFonts w:eastAsia="Times New Roman" w:cstheme="minorHAnsi"/>
          <w:spacing w:val="8"/>
          <w:sz w:val="24"/>
          <w:szCs w:val="24"/>
          <w:lang w:eastAsia="zh-CN"/>
        </w:rPr>
        <w:t xml:space="preserve"> </w:t>
      </w:r>
    </w:p>
    <w:tbl>
      <w:tblPr>
        <w:tblW w:w="7375" w:type="dxa"/>
        <w:tblLook w:val="04A0" w:firstRow="1" w:lastRow="0" w:firstColumn="1" w:lastColumn="0" w:noHBand="0" w:noVBand="1"/>
      </w:tblPr>
      <w:tblGrid>
        <w:gridCol w:w="3415"/>
        <w:gridCol w:w="1980"/>
        <w:gridCol w:w="1980"/>
      </w:tblGrid>
      <w:tr w:rsidR="00BD050D" w:rsidRPr="00BD050D" w14:paraId="19AB236A" w14:textId="77777777" w:rsidTr="003C5F00">
        <w:trPr>
          <w:trHeight w:val="32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D7940" w14:textId="60485030" w:rsidR="003C5F00" w:rsidRPr="00BD050D" w:rsidRDefault="003C5F00" w:rsidP="00FE0DD1">
            <w:pPr>
              <w:spacing w:before="0"/>
              <w:jc w:val="center"/>
              <w:rPr>
                <w:rFonts w:eastAsia="Times New Roman" w:cstheme="minorHAnsi"/>
                <w:b/>
                <w:bCs/>
                <w:spacing w:val="8"/>
                <w:sz w:val="24"/>
                <w:szCs w:val="24"/>
                <w:lang w:eastAsia="zh-CN"/>
              </w:rPr>
            </w:pPr>
            <w:r w:rsidRPr="00BD050D">
              <w:rPr>
                <w:rFonts w:eastAsia="Times New Roman" w:cstheme="minorHAnsi"/>
                <w:b/>
                <w:bCs/>
                <w:spacing w:val="8"/>
                <w:sz w:val="24"/>
                <w:szCs w:val="24"/>
                <w:lang w:eastAsia="zh-CN"/>
              </w:rPr>
              <w:t>IPC-1754 (Add</w:t>
            </w:r>
            <w:r w:rsidR="00FE0DD1" w:rsidRPr="00BD050D">
              <w:rPr>
                <w:rFonts w:eastAsia="Times New Roman" w:cstheme="minorHAnsi"/>
                <w:b/>
                <w:bCs/>
                <w:spacing w:val="8"/>
                <w:sz w:val="24"/>
                <w:szCs w:val="24"/>
                <w:lang w:eastAsia="zh-CN"/>
              </w:rPr>
              <w:t>ed</w:t>
            </w:r>
            <w:r w:rsidRPr="00BD050D">
              <w:rPr>
                <w:rFonts w:eastAsia="Times New Roman" w:cstheme="minorHAnsi"/>
                <w:b/>
                <w:bCs/>
                <w:spacing w:val="8"/>
                <w:sz w:val="24"/>
                <w:szCs w:val="24"/>
                <w:lang w:eastAsia="zh-CN"/>
              </w:rPr>
              <w:t xml:space="preserve"> Fields)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51154DC" w14:textId="77777777" w:rsidR="003C5F00" w:rsidRPr="00BD050D" w:rsidRDefault="003C5F00" w:rsidP="0078127B">
            <w:pPr>
              <w:spacing w:before="0"/>
              <w:jc w:val="center"/>
              <w:rPr>
                <w:rFonts w:eastAsia="Times New Roman" w:cstheme="minorHAnsi"/>
                <w:b/>
                <w:bCs/>
                <w:spacing w:val="8"/>
                <w:sz w:val="24"/>
                <w:szCs w:val="24"/>
                <w:lang w:eastAsia="zh-CN"/>
              </w:rPr>
            </w:pPr>
            <w:r w:rsidRPr="00BD050D">
              <w:rPr>
                <w:rFonts w:eastAsia="Times New Roman" w:cstheme="minorHAnsi"/>
                <w:b/>
                <w:bCs/>
                <w:spacing w:val="8"/>
                <w:sz w:val="24"/>
                <w:szCs w:val="24"/>
                <w:lang w:eastAsia="zh-CN"/>
              </w:rPr>
              <w:t>EU - SCIP (M/O)</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4F12FC5" w14:textId="77777777" w:rsidR="003C5F00" w:rsidRPr="00BD050D" w:rsidRDefault="003C5F00" w:rsidP="0078127B">
            <w:pPr>
              <w:spacing w:before="0"/>
              <w:jc w:val="center"/>
              <w:rPr>
                <w:rFonts w:eastAsia="Times New Roman" w:cstheme="minorHAnsi"/>
                <w:b/>
                <w:bCs/>
                <w:spacing w:val="8"/>
                <w:sz w:val="24"/>
                <w:szCs w:val="24"/>
                <w:lang w:eastAsia="zh-CN"/>
              </w:rPr>
            </w:pPr>
            <w:r w:rsidRPr="00BD050D">
              <w:rPr>
                <w:rFonts w:eastAsia="Times New Roman" w:cstheme="minorHAnsi"/>
                <w:b/>
                <w:bCs/>
                <w:spacing w:val="8"/>
                <w:sz w:val="24"/>
                <w:szCs w:val="24"/>
                <w:lang w:eastAsia="zh-CN"/>
              </w:rPr>
              <w:t>IPC-1754 (M/O)</w:t>
            </w:r>
          </w:p>
        </w:tc>
      </w:tr>
      <w:tr w:rsidR="00BD050D" w:rsidRPr="00BD050D" w14:paraId="3FA7EB64"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57A699B" w14:textId="7FA24457"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 xml:space="preserve">SCIP: </w:t>
            </w:r>
            <w:r w:rsidR="00FE0DD1" w:rsidRPr="00BD050D">
              <w:rPr>
                <w:rFonts w:eastAsia="Times New Roman" w:cstheme="minorHAnsi"/>
                <w:spacing w:val="8"/>
                <w:sz w:val="24"/>
                <w:szCs w:val="24"/>
                <w:lang w:eastAsia="zh-CN"/>
              </w:rPr>
              <w:t>M</w:t>
            </w:r>
            <w:r w:rsidRPr="00BD050D">
              <w:rPr>
                <w:rFonts w:eastAsia="Times New Roman" w:cstheme="minorHAnsi"/>
                <w:spacing w:val="8"/>
                <w:sz w:val="24"/>
                <w:szCs w:val="24"/>
                <w:lang w:eastAsia="zh-CN"/>
              </w:rPr>
              <w:t xml:space="preserve">ultiple </w:t>
            </w:r>
            <w:proofErr w:type="spellStart"/>
            <w:r w:rsidRPr="00BD050D">
              <w:rPr>
                <w:rFonts w:eastAsia="Times New Roman" w:cstheme="minorHAnsi"/>
                <w:spacing w:val="8"/>
                <w:sz w:val="24"/>
                <w:szCs w:val="24"/>
                <w:lang w:eastAsia="zh-CN"/>
              </w:rPr>
              <w:t>ProductID</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54323FD1"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c>
          <w:tcPr>
            <w:tcW w:w="1980" w:type="dxa"/>
            <w:tcBorders>
              <w:top w:val="nil"/>
              <w:left w:val="nil"/>
              <w:bottom w:val="single" w:sz="4" w:space="0" w:color="auto"/>
              <w:right w:val="single" w:sz="4" w:space="0" w:color="auto"/>
            </w:tcBorders>
            <w:shd w:val="clear" w:color="auto" w:fill="auto"/>
            <w:vAlign w:val="center"/>
            <w:hideMark/>
          </w:tcPr>
          <w:p w14:paraId="26C70CF8"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325AA968"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7FE2090" w14:textId="4E9EC47B"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SCIP: Product Category</w:t>
            </w:r>
          </w:p>
        </w:tc>
        <w:tc>
          <w:tcPr>
            <w:tcW w:w="1980" w:type="dxa"/>
            <w:tcBorders>
              <w:top w:val="nil"/>
              <w:left w:val="nil"/>
              <w:bottom w:val="single" w:sz="4" w:space="0" w:color="auto"/>
              <w:right w:val="single" w:sz="4" w:space="0" w:color="auto"/>
            </w:tcBorders>
            <w:shd w:val="clear" w:color="auto" w:fill="auto"/>
            <w:vAlign w:val="center"/>
            <w:hideMark/>
          </w:tcPr>
          <w:p w14:paraId="5B3407DB"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c>
          <w:tcPr>
            <w:tcW w:w="1980" w:type="dxa"/>
            <w:tcBorders>
              <w:top w:val="nil"/>
              <w:left w:val="nil"/>
              <w:bottom w:val="single" w:sz="4" w:space="0" w:color="auto"/>
              <w:right w:val="single" w:sz="4" w:space="0" w:color="auto"/>
            </w:tcBorders>
            <w:shd w:val="clear" w:color="auto" w:fill="auto"/>
            <w:vAlign w:val="center"/>
            <w:hideMark/>
          </w:tcPr>
          <w:p w14:paraId="761E4AB3"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18B69D18"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B21C26A" w14:textId="30200ED8"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SCIP: Material Category</w:t>
            </w:r>
          </w:p>
        </w:tc>
        <w:tc>
          <w:tcPr>
            <w:tcW w:w="1980" w:type="dxa"/>
            <w:tcBorders>
              <w:top w:val="nil"/>
              <w:left w:val="nil"/>
              <w:bottom w:val="single" w:sz="4" w:space="0" w:color="auto"/>
              <w:right w:val="single" w:sz="4" w:space="0" w:color="auto"/>
            </w:tcBorders>
            <w:shd w:val="clear" w:color="auto" w:fill="auto"/>
            <w:vAlign w:val="center"/>
            <w:hideMark/>
          </w:tcPr>
          <w:p w14:paraId="392C3FDD" w14:textId="1D17A0D8"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c>
          <w:tcPr>
            <w:tcW w:w="1980" w:type="dxa"/>
            <w:tcBorders>
              <w:top w:val="nil"/>
              <w:left w:val="nil"/>
              <w:bottom w:val="single" w:sz="4" w:space="0" w:color="auto"/>
              <w:right w:val="single" w:sz="4" w:space="0" w:color="auto"/>
            </w:tcBorders>
            <w:shd w:val="clear" w:color="auto" w:fill="auto"/>
            <w:vAlign w:val="center"/>
            <w:hideMark/>
          </w:tcPr>
          <w:p w14:paraId="719AD594"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72BB0AB8"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0B55439" w14:textId="6D23DDFB"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SCIP: Mixture Category</w:t>
            </w:r>
          </w:p>
        </w:tc>
        <w:tc>
          <w:tcPr>
            <w:tcW w:w="1980" w:type="dxa"/>
            <w:tcBorders>
              <w:top w:val="nil"/>
              <w:left w:val="nil"/>
              <w:bottom w:val="single" w:sz="4" w:space="0" w:color="auto"/>
              <w:right w:val="single" w:sz="4" w:space="0" w:color="auto"/>
            </w:tcBorders>
            <w:shd w:val="clear" w:color="auto" w:fill="auto"/>
            <w:vAlign w:val="center"/>
            <w:hideMark/>
          </w:tcPr>
          <w:p w14:paraId="376CD285" w14:textId="2D0B6E69"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r w:rsidR="00500E46" w:rsidRPr="00BD050D">
              <w:rPr>
                <w:rFonts w:eastAsia="Times New Roman" w:cstheme="minorHAnsi"/>
                <w:spacing w:val="8"/>
                <w:sz w:val="24"/>
                <w:szCs w:val="24"/>
                <w:lang w:eastAsia="zh-CN"/>
              </w:rPr>
              <w:t>*</w:t>
            </w:r>
          </w:p>
        </w:tc>
        <w:tc>
          <w:tcPr>
            <w:tcW w:w="1980" w:type="dxa"/>
            <w:tcBorders>
              <w:top w:val="nil"/>
              <w:left w:val="nil"/>
              <w:bottom w:val="single" w:sz="4" w:space="0" w:color="auto"/>
              <w:right w:val="single" w:sz="4" w:space="0" w:color="auto"/>
            </w:tcBorders>
            <w:shd w:val="clear" w:color="auto" w:fill="auto"/>
            <w:vAlign w:val="center"/>
            <w:hideMark/>
          </w:tcPr>
          <w:p w14:paraId="64D4FA8D"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03078C1E"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C972683" w14:textId="015C7F47"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 xml:space="preserve">SCIP: Material Characteristics </w:t>
            </w:r>
          </w:p>
        </w:tc>
        <w:tc>
          <w:tcPr>
            <w:tcW w:w="1980" w:type="dxa"/>
            <w:tcBorders>
              <w:top w:val="nil"/>
              <w:left w:val="nil"/>
              <w:bottom w:val="single" w:sz="4" w:space="0" w:color="auto"/>
              <w:right w:val="single" w:sz="4" w:space="0" w:color="auto"/>
            </w:tcBorders>
            <w:shd w:val="clear" w:color="auto" w:fill="auto"/>
            <w:vAlign w:val="center"/>
            <w:hideMark/>
          </w:tcPr>
          <w:p w14:paraId="1DAD3833"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c>
          <w:tcPr>
            <w:tcW w:w="1980" w:type="dxa"/>
            <w:tcBorders>
              <w:top w:val="nil"/>
              <w:left w:val="nil"/>
              <w:bottom w:val="single" w:sz="4" w:space="0" w:color="auto"/>
              <w:right w:val="single" w:sz="4" w:space="0" w:color="auto"/>
            </w:tcBorders>
            <w:shd w:val="clear" w:color="auto" w:fill="auto"/>
            <w:vAlign w:val="center"/>
            <w:hideMark/>
          </w:tcPr>
          <w:p w14:paraId="1951B061"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r w:rsidR="00BD050D" w:rsidRPr="00BD050D" w14:paraId="0F74F85A" w14:textId="77777777" w:rsidTr="003C5F00">
        <w:trPr>
          <w:trHeight w:val="3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39704C8" w14:textId="77777777" w:rsidR="003C5F00" w:rsidRPr="00BD050D" w:rsidRDefault="003C5F00" w:rsidP="0078127B">
            <w:pPr>
              <w:spacing w:before="0"/>
              <w:rPr>
                <w:rFonts w:eastAsia="Times New Roman" w:cstheme="minorHAnsi"/>
                <w:spacing w:val="8"/>
                <w:sz w:val="24"/>
                <w:szCs w:val="24"/>
                <w:lang w:eastAsia="zh-CN"/>
              </w:rPr>
            </w:pPr>
            <w:r w:rsidRPr="00BD050D">
              <w:rPr>
                <w:rFonts w:eastAsia="Times New Roman" w:cstheme="minorHAnsi"/>
                <w:spacing w:val="8"/>
                <w:sz w:val="24"/>
                <w:szCs w:val="24"/>
                <w:lang w:eastAsia="zh-CN"/>
              </w:rPr>
              <w:t>SCIP: Safe Use Instructions</w:t>
            </w:r>
          </w:p>
        </w:tc>
        <w:tc>
          <w:tcPr>
            <w:tcW w:w="1980" w:type="dxa"/>
            <w:tcBorders>
              <w:top w:val="nil"/>
              <w:left w:val="nil"/>
              <w:bottom w:val="single" w:sz="4" w:space="0" w:color="auto"/>
              <w:right w:val="single" w:sz="4" w:space="0" w:color="auto"/>
            </w:tcBorders>
            <w:shd w:val="clear" w:color="auto" w:fill="auto"/>
            <w:vAlign w:val="center"/>
            <w:hideMark/>
          </w:tcPr>
          <w:p w14:paraId="639F5B1A" w14:textId="785CD893" w:rsidR="003C5F00" w:rsidRPr="00BD050D" w:rsidRDefault="00500E46"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M</w:t>
            </w:r>
          </w:p>
        </w:tc>
        <w:tc>
          <w:tcPr>
            <w:tcW w:w="1980" w:type="dxa"/>
            <w:tcBorders>
              <w:top w:val="nil"/>
              <w:left w:val="nil"/>
              <w:bottom w:val="single" w:sz="4" w:space="0" w:color="auto"/>
              <w:right w:val="single" w:sz="4" w:space="0" w:color="auto"/>
            </w:tcBorders>
            <w:shd w:val="clear" w:color="auto" w:fill="auto"/>
            <w:vAlign w:val="center"/>
            <w:hideMark/>
          </w:tcPr>
          <w:p w14:paraId="7376DB3E" w14:textId="77777777" w:rsidR="003C5F00" w:rsidRPr="00BD050D" w:rsidRDefault="003C5F00" w:rsidP="0078127B">
            <w:pPr>
              <w:spacing w:before="0"/>
              <w:jc w:val="center"/>
              <w:rPr>
                <w:rFonts w:eastAsia="Times New Roman" w:cstheme="minorHAnsi"/>
                <w:spacing w:val="8"/>
                <w:sz w:val="24"/>
                <w:szCs w:val="24"/>
                <w:lang w:eastAsia="zh-CN"/>
              </w:rPr>
            </w:pPr>
            <w:r w:rsidRPr="00BD050D">
              <w:rPr>
                <w:rFonts w:eastAsia="Times New Roman" w:cstheme="minorHAnsi"/>
                <w:spacing w:val="8"/>
                <w:sz w:val="24"/>
                <w:szCs w:val="24"/>
                <w:lang w:eastAsia="zh-CN"/>
              </w:rPr>
              <w:t>O</w:t>
            </w:r>
          </w:p>
        </w:tc>
      </w:tr>
    </w:tbl>
    <w:p w14:paraId="3885AE43" w14:textId="29335EDE" w:rsidR="00946405" w:rsidRPr="00BD050D" w:rsidRDefault="00500E46" w:rsidP="00500E46">
      <w:pPr>
        <w:pStyle w:val="ReportBodyText"/>
        <w:spacing w:before="0" w:after="60"/>
        <w:ind w:left="450"/>
        <w:rPr>
          <w:rFonts w:asciiTheme="minorHAnsi" w:hAnsiTheme="minorHAnsi" w:cstheme="minorHAnsi"/>
          <w:sz w:val="20"/>
          <w:szCs w:val="20"/>
          <w:lang w:val="en-CA"/>
        </w:rPr>
      </w:pPr>
      <w:r w:rsidRPr="00BD050D">
        <w:rPr>
          <w:rFonts w:asciiTheme="minorHAnsi" w:hAnsiTheme="minorHAnsi" w:cstheme="minorHAnsi"/>
          <w:sz w:val="20"/>
          <w:szCs w:val="20"/>
          <w:lang w:val="en-CA"/>
        </w:rPr>
        <w:t xml:space="preserve">   *  Material Category mandatory if Mixture Category not filled in</w:t>
      </w:r>
    </w:p>
    <w:p w14:paraId="0E198B51" w14:textId="67B451E1" w:rsidR="00500E46" w:rsidRPr="00BD050D" w:rsidRDefault="00500E46" w:rsidP="00500E46">
      <w:pPr>
        <w:pStyle w:val="ReportBodyText"/>
        <w:spacing w:before="0" w:after="60"/>
        <w:ind w:left="450"/>
        <w:rPr>
          <w:rFonts w:asciiTheme="minorHAnsi" w:hAnsiTheme="minorHAnsi" w:cstheme="minorHAnsi"/>
          <w:sz w:val="20"/>
          <w:szCs w:val="20"/>
          <w:lang w:val="en-CA"/>
        </w:rPr>
      </w:pPr>
      <w:r w:rsidRPr="00BD050D">
        <w:rPr>
          <w:rFonts w:asciiTheme="minorHAnsi" w:hAnsiTheme="minorHAnsi" w:cstheme="minorHAnsi"/>
          <w:sz w:val="20"/>
          <w:szCs w:val="20"/>
          <w:lang w:val="en-CA"/>
        </w:rPr>
        <w:t xml:space="preserve"> ** Mixture Category mandatory if materials Category not filled in</w:t>
      </w:r>
    </w:p>
    <w:p w14:paraId="5D28905D" w14:textId="77777777" w:rsidR="00500E46" w:rsidRPr="00BD050D" w:rsidRDefault="00500E46" w:rsidP="00946405">
      <w:pPr>
        <w:pStyle w:val="ReportBodyText"/>
        <w:spacing w:before="0" w:after="60"/>
        <w:rPr>
          <w:rFonts w:asciiTheme="minorHAnsi" w:eastAsia="Times New Roman" w:hAnsiTheme="minorHAnsi" w:cstheme="minorHAnsi"/>
          <w:spacing w:val="8"/>
          <w:sz w:val="24"/>
          <w:szCs w:val="24"/>
          <w:lang w:eastAsia="zh-CN"/>
        </w:rPr>
      </w:pPr>
    </w:p>
    <w:p w14:paraId="028FA380" w14:textId="30342DFD" w:rsidR="00A82FAA" w:rsidRPr="00BD050D" w:rsidRDefault="00BD050D" w:rsidP="00E3611E">
      <w:pPr>
        <w:pStyle w:val="ReportBodyText"/>
        <w:spacing w:before="0" w:after="60"/>
        <w:rPr>
          <w:rFonts w:asciiTheme="minorHAnsi" w:eastAsia="Roboto" w:hAnsiTheme="minorHAnsi" w:cstheme="minorHAnsi"/>
          <w:sz w:val="24"/>
          <w:szCs w:val="24"/>
          <w:lang w:eastAsia="en-US"/>
        </w:rPr>
      </w:pPr>
      <w:r>
        <w:rPr>
          <w:rFonts w:asciiTheme="minorHAnsi" w:eastAsia="Times New Roman" w:hAnsiTheme="minorHAnsi" w:cstheme="minorHAnsi"/>
          <w:spacing w:val="8"/>
          <w:sz w:val="24"/>
          <w:szCs w:val="24"/>
          <w:lang w:eastAsia="zh-CN"/>
        </w:rPr>
        <w:t xml:space="preserve">         </w:t>
      </w:r>
      <w:r w:rsidR="00D6771C" w:rsidRPr="00BD050D">
        <w:rPr>
          <w:rFonts w:asciiTheme="minorHAnsi" w:eastAsia="Times New Roman" w:hAnsiTheme="minorHAnsi" w:cstheme="minorHAnsi"/>
          <w:spacing w:val="8"/>
          <w:sz w:val="24"/>
          <w:szCs w:val="24"/>
          <w:lang w:eastAsia="zh-CN"/>
        </w:rPr>
        <w:t xml:space="preserve">Table 2 IPC-1754 AM2 </w:t>
      </w:r>
      <w:r w:rsidR="00FE0DD1" w:rsidRPr="00BD050D">
        <w:rPr>
          <w:rFonts w:asciiTheme="minorHAnsi" w:eastAsia="Times New Roman" w:hAnsiTheme="minorHAnsi" w:cstheme="minorHAnsi"/>
          <w:spacing w:val="8"/>
          <w:sz w:val="24"/>
          <w:szCs w:val="24"/>
          <w:lang w:eastAsia="zh-CN"/>
        </w:rPr>
        <w:t>f</w:t>
      </w:r>
      <w:r w:rsidR="00D6771C" w:rsidRPr="00BD050D">
        <w:rPr>
          <w:rFonts w:asciiTheme="minorHAnsi" w:eastAsia="Times New Roman" w:hAnsiTheme="minorHAnsi" w:cstheme="minorHAnsi"/>
          <w:spacing w:val="8"/>
          <w:sz w:val="24"/>
          <w:szCs w:val="24"/>
          <w:lang w:eastAsia="zh-CN"/>
        </w:rPr>
        <w:t>ield</w:t>
      </w:r>
      <w:r w:rsidR="00FE0DD1" w:rsidRPr="00BD050D">
        <w:rPr>
          <w:rFonts w:asciiTheme="minorHAnsi" w:eastAsia="Times New Roman" w:hAnsiTheme="minorHAnsi" w:cstheme="minorHAnsi"/>
          <w:spacing w:val="8"/>
          <w:sz w:val="24"/>
          <w:szCs w:val="24"/>
          <w:lang w:eastAsia="zh-CN"/>
        </w:rPr>
        <w:t>s</w:t>
      </w:r>
      <w:r w:rsidR="00D6771C" w:rsidRPr="00BD050D">
        <w:rPr>
          <w:rFonts w:asciiTheme="minorHAnsi" w:eastAsia="Times New Roman" w:hAnsiTheme="minorHAnsi" w:cstheme="minorHAnsi"/>
          <w:spacing w:val="8"/>
          <w:sz w:val="24"/>
          <w:szCs w:val="24"/>
          <w:lang w:eastAsia="zh-CN"/>
        </w:rPr>
        <w:t xml:space="preserve"> added to harmonize with SCIP </w:t>
      </w:r>
      <w:r w:rsidR="00A75BD9" w:rsidRPr="00BD050D">
        <w:rPr>
          <w:rFonts w:asciiTheme="minorHAnsi" w:eastAsia="Times New Roman" w:hAnsiTheme="minorHAnsi" w:cstheme="minorHAnsi"/>
          <w:spacing w:val="8"/>
          <w:sz w:val="24"/>
          <w:szCs w:val="24"/>
          <w:lang w:eastAsia="zh-CN"/>
        </w:rPr>
        <w:t>database.</w:t>
      </w:r>
    </w:p>
    <w:p w14:paraId="5D873244" w14:textId="77777777" w:rsidR="00A82FAA" w:rsidRPr="00BD050D" w:rsidRDefault="00A82FAA" w:rsidP="00E3611E">
      <w:pPr>
        <w:pStyle w:val="ReportBodyText"/>
        <w:spacing w:before="0" w:after="60"/>
        <w:rPr>
          <w:rFonts w:asciiTheme="minorHAnsi" w:hAnsiTheme="minorHAnsi" w:cstheme="minorHAnsi"/>
          <w:b/>
          <w:bCs/>
          <w:sz w:val="24"/>
          <w:szCs w:val="24"/>
          <w:u w:val="single"/>
          <w:lang w:eastAsia="en-US"/>
        </w:rPr>
      </w:pPr>
    </w:p>
    <w:p w14:paraId="4A488B8C" w14:textId="77777777" w:rsidR="00A82FAA" w:rsidRPr="00BD050D" w:rsidRDefault="00A82FAA" w:rsidP="00E3611E">
      <w:pPr>
        <w:pStyle w:val="ReportBodyText"/>
        <w:spacing w:before="0" w:after="60"/>
        <w:rPr>
          <w:rFonts w:asciiTheme="minorHAnsi" w:hAnsiTheme="minorHAnsi" w:cstheme="minorHAnsi"/>
          <w:b/>
          <w:bCs/>
          <w:sz w:val="24"/>
          <w:szCs w:val="24"/>
          <w:u w:val="single"/>
          <w:lang w:eastAsia="en-US"/>
        </w:rPr>
      </w:pPr>
    </w:p>
    <w:p w14:paraId="6BCF3E78" w14:textId="27E9AAC2" w:rsidR="00FE390E" w:rsidRPr="00BD050D" w:rsidRDefault="00FE390E" w:rsidP="00E3611E">
      <w:pPr>
        <w:pStyle w:val="ReportBodyText"/>
        <w:spacing w:before="0" w:after="60"/>
        <w:rPr>
          <w:rFonts w:asciiTheme="minorHAnsi" w:hAnsiTheme="minorHAnsi" w:cstheme="minorHAnsi"/>
          <w:b/>
          <w:bCs/>
          <w:sz w:val="24"/>
          <w:szCs w:val="24"/>
          <w:u w:val="single"/>
          <w:lang w:eastAsia="en-US"/>
        </w:rPr>
      </w:pPr>
      <w:r w:rsidRPr="00BD050D">
        <w:rPr>
          <w:rFonts w:asciiTheme="minorHAnsi" w:hAnsiTheme="minorHAnsi" w:cstheme="minorHAnsi"/>
          <w:b/>
          <w:bCs/>
          <w:sz w:val="24"/>
          <w:szCs w:val="24"/>
          <w:u w:val="single"/>
          <w:lang w:eastAsia="en-US"/>
        </w:rPr>
        <w:t>Revision History</w:t>
      </w:r>
    </w:p>
    <w:p w14:paraId="089C7344" w14:textId="4B096160" w:rsidR="00FE390E" w:rsidRPr="00BD050D" w:rsidRDefault="00FE390E" w:rsidP="002C2287">
      <w:pPr>
        <w:pStyle w:val="ReportBodyText"/>
        <w:spacing w:before="0" w:after="60"/>
        <w:ind w:left="270"/>
        <w:rPr>
          <w:rFonts w:asciiTheme="minorHAnsi" w:hAnsiTheme="minorHAnsi" w:cstheme="minorHAnsi"/>
          <w:b/>
          <w:bCs/>
          <w:sz w:val="24"/>
          <w:szCs w:val="24"/>
          <w:u w:val="single"/>
          <w:lang w:eastAsia="en-US"/>
        </w:rPr>
      </w:pPr>
    </w:p>
    <w:tbl>
      <w:tblPr>
        <w:tblStyle w:val="TableGrid"/>
        <w:tblW w:w="0" w:type="auto"/>
        <w:tblInd w:w="270" w:type="dxa"/>
        <w:tblLook w:val="04A0" w:firstRow="1" w:lastRow="0" w:firstColumn="1" w:lastColumn="0" w:noHBand="0" w:noVBand="1"/>
      </w:tblPr>
      <w:tblGrid>
        <w:gridCol w:w="1899"/>
        <w:gridCol w:w="6847"/>
      </w:tblGrid>
      <w:tr w:rsidR="00BD050D" w:rsidRPr="00BD050D" w14:paraId="4038C724" w14:textId="77777777" w:rsidTr="00FE390E">
        <w:tc>
          <w:tcPr>
            <w:tcW w:w="1908" w:type="dxa"/>
          </w:tcPr>
          <w:p w14:paraId="74FE99F1" w14:textId="77777777" w:rsidR="00FE390E" w:rsidRPr="00BD050D" w:rsidRDefault="00FE390E" w:rsidP="002C2287">
            <w:pPr>
              <w:pStyle w:val="ReportBodyText"/>
              <w:spacing w:before="0" w:after="60"/>
              <w:rPr>
                <w:rFonts w:asciiTheme="minorHAnsi" w:eastAsia="Roboto" w:hAnsiTheme="minorHAnsi" w:cstheme="minorHAnsi"/>
                <w:b/>
                <w:sz w:val="24"/>
                <w:szCs w:val="24"/>
                <w:lang w:eastAsia="en-US"/>
              </w:rPr>
            </w:pPr>
            <w:r w:rsidRPr="00BD050D">
              <w:rPr>
                <w:rFonts w:asciiTheme="minorHAnsi" w:eastAsia="Roboto" w:hAnsiTheme="minorHAnsi" w:cstheme="minorHAnsi"/>
                <w:b/>
                <w:sz w:val="24"/>
                <w:szCs w:val="24"/>
                <w:lang w:eastAsia="en-US"/>
              </w:rPr>
              <w:t>Date</w:t>
            </w:r>
          </w:p>
        </w:tc>
        <w:tc>
          <w:tcPr>
            <w:tcW w:w="6930" w:type="dxa"/>
          </w:tcPr>
          <w:p w14:paraId="6664B320" w14:textId="77777777" w:rsidR="00FE390E" w:rsidRPr="00BD050D" w:rsidRDefault="00FE390E" w:rsidP="002C2287">
            <w:pPr>
              <w:pStyle w:val="ReportBodyText"/>
              <w:spacing w:before="0" w:after="60"/>
              <w:rPr>
                <w:rFonts w:asciiTheme="minorHAnsi" w:eastAsia="Roboto" w:hAnsiTheme="minorHAnsi" w:cstheme="minorHAnsi"/>
                <w:b/>
                <w:sz w:val="24"/>
                <w:szCs w:val="24"/>
                <w:lang w:eastAsia="en-US"/>
              </w:rPr>
            </w:pPr>
            <w:r w:rsidRPr="00BD050D">
              <w:rPr>
                <w:rFonts w:asciiTheme="minorHAnsi" w:eastAsia="Roboto" w:hAnsiTheme="minorHAnsi" w:cstheme="minorHAnsi"/>
                <w:b/>
                <w:sz w:val="24"/>
                <w:szCs w:val="24"/>
                <w:lang w:eastAsia="en-US"/>
              </w:rPr>
              <w:t>Nature of Changes</w:t>
            </w:r>
          </w:p>
        </w:tc>
      </w:tr>
      <w:tr w:rsidR="00BD050D" w:rsidRPr="00BD050D" w14:paraId="2E3A1A1C" w14:textId="77777777" w:rsidTr="00FE390E">
        <w:tc>
          <w:tcPr>
            <w:tcW w:w="1908" w:type="dxa"/>
          </w:tcPr>
          <w:p w14:paraId="5D3C74DC" w14:textId="77777777" w:rsidR="00FE390E" w:rsidRPr="00BD050D" w:rsidRDefault="00FE390E" w:rsidP="002C2287">
            <w:pPr>
              <w:pStyle w:val="ReportBodyText"/>
              <w:spacing w:before="0" w:after="6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18Aug2018</w:t>
            </w:r>
          </w:p>
        </w:tc>
        <w:tc>
          <w:tcPr>
            <w:tcW w:w="6930" w:type="dxa"/>
          </w:tcPr>
          <w:p w14:paraId="735C1261" w14:textId="77777777" w:rsidR="00FE390E" w:rsidRPr="00BD050D" w:rsidRDefault="00FE390E" w:rsidP="002C2287">
            <w:pPr>
              <w:pStyle w:val="ReportBodyText"/>
              <w:spacing w:before="0" w:after="6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Initial Release</w:t>
            </w:r>
          </w:p>
        </w:tc>
      </w:tr>
      <w:tr w:rsidR="00B17C92" w:rsidRPr="00BD050D" w14:paraId="7D2931F4" w14:textId="77777777" w:rsidTr="00FE390E">
        <w:tc>
          <w:tcPr>
            <w:tcW w:w="1908" w:type="dxa"/>
          </w:tcPr>
          <w:p w14:paraId="5544FD2C" w14:textId="2C8C1584" w:rsidR="00946405" w:rsidRPr="00BD050D" w:rsidRDefault="001F5E16" w:rsidP="002C2287">
            <w:pPr>
              <w:pStyle w:val="ReportBodyText"/>
              <w:spacing w:before="0" w:after="60"/>
              <w:rPr>
                <w:rFonts w:asciiTheme="minorHAnsi" w:eastAsia="Roboto" w:hAnsiTheme="minorHAnsi" w:cstheme="minorHAnsi"/>
                <w:sz w:val="24"/>
                <w:szCs w:val="24"/>
                <w:lang w:eastAsia="en-US"/>
              </w:rPr>
            </w:pPr>
            <w:r>
              <w:rPr>
                <w:rFonts w:asciiTheme="minorHAnsi" w:eastAsia="Roboto" w:hAnsiTheme="minorHAnsi" w:cstheme="minorHAnsi"/>
                <w:sz w:val="24"/>
                <w:szCs w:val="24"/>
                <w:lang w:eastAsia="en-US"/>
              </w:rPr>
              <w:t>28</w:t>
            </w:r>
            <w:r w:rsidR="00B17C92">
              <w:rPr>
                <w:rFonts w:asciiTheme="minorHAnsi" w:eastAsia="Roboto" w:hAnsiTheme="minorHAnsi" w:cstheme="minorHAnsi"/>
                <w:sz w:val="24"/>
                <w:szCs w:val="24"/>
                <w:lang w:eastAsia="en-US"/>
              </w:rPr>
              <w:t>Aug</w:t>
            </w:r>
            <w:r>
              <w:rPr>
                <w:rFonts w:asciiTheme="minorHAnsi" w:eastAsia="Roboto" w:hAnsiTheme="minorHAnsi" w:cstheme="minorHAnsi"/>
                <w:sz w:val="24"/>
                <w:szCs w:val="24"/>
                <w:lang w:eastAsia="en-US"/>
              </w:rPr>
              <w:t>2023</w:t>
            </w:r>
          </w:p>
        </w:tc>
        <w:tc>
          <w:tcPr>
            <w:tcW w:w="6930" w:type="dxa"/>
          </w:tcPr>
          <w:p w14:paraId="52B176D9" w14:textId="10BAA9DB" w:rsidR="00946405" w:rsidRPr="00BD050D" w:rsidRDefault="00A82FAA" w:rsidP="002C2287">
            <w:pPr>
              <w:pStyle w:val="ReportBodyText"/>
              <w:spacing w:before="0" w:after="60"/>
              <w:rPr>
                <w:rFonts w:asciiTheme="minorHAnsi" w:eastAsia="Roboto" w:hAnsiTheme="minorHAnsi" w:cstheme="minorHAnsi"/>
                <w:sz w:val="24"/>
                <w:szCs w:val="24"/>
                <w:lang w:eastAsia="en-US"/>
              </w:rPr>
            </w:pPr>
            <w:r w:rsidRPr="00BD050D">
              <w:rPr>
                <w:rFonts w:asciiTheme="minorHAnsi" w:eastAsia="Roboto" w:hAnsiTheme="minorHAnsi" w:cstheme="minorHAnsi"/>
                <w:sz w:val="24"/>
                <w:szCs w:val="24"/>
                <w:lang w:eastAsia="en-US"/>
              </w:rPr>
              <w:t xml:space="preserve">Complete re-write to focus on instructions for supplier being asked to submit a declaration in accordance with IPC-1754.  </w:t>
            </w:r>
          </w:p>
        </w:tc>
      </w:tr>
    </w:tbl>
    <w:p w14:paraId="06087C37" w14:textId="77777777" w:rsidR="00FE390E" w:rsidRPr="00BD050D" w:rsidRDefault="00FE390E" w:rsidP="002C2287">
      <w:pPr>
        <w:pStyle w:val="ReportBodyText"/>
        <w:spacing w:before="0" w:after="60"/>
        <w:ind w:left="270"/>
        <w:rPr>
          <w:rFonts w:asciiTheme="minorHAnsi" w:eastAsia="Roboto" w:hAnsiTheme="minorHAnsi" w:cstheme="minorHAnsi"/>
          <w:sz w:val="24"/>
          <w:szCs w:val="24"/>
          <w:lang w:eastAsia="en-US"/>
        </w:rPr>
      </w:pPr>
    </w:p>
    <w:p w14:paraId="0E920DDE" w14:textId="206EEDBB" w:rsidR="00F95D18" w:rsidRPr="00BD050D" w:rsidRDefault="00F95D18" w:rsidP="00F95D18">
      <w:pPr>
        <w:rPr>
          <w:rFonts w:cstheme="minorHAnsi"/>
          <w:sz w:val="24"/>
          <w:szCs w:val="24"/>
        </w:rPr>
      </w:pPr>
    </w:p>
    <w:sectPr w:rsidR="00F95D18" w:rsidRPr="00BD050D" w:rsidSect="00FE390E">
      <w:headerReference w:type="default"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A082" w14:textId="77777777" w:rsidR="00467F09" w:rsidRDefault="00467F09" w:rsidP="00305E4E">
      <w:pPr>
        <w:spacing w:before="0"/>
      </w:pPr>
      <w:r>
        <w:separator/>
      </w:r>
    </w:p>
  </w:endnote>
  <w:endnote w:type="continuationSeparator" w:id="0">
    <w:p w14:paraId="61CF413F" w14:textId="77777777" w:rsidR="00467F09" w:rsidRDefault="00467F09" w:rsidP="00305E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35" w:type="pct"/>
      <w:tblLook w:val="04A0" w:firstRow="1" w:lastRow="0" w:firstColumn="1" w:lastColumn="0" w:noHBand="0" w:noVBand="1"/>
    </w:tblPr>
    <w:tblGrid>
      <w:gridCol w:w="3884"/>
      <w:gridCol w:w="1142"/>
      <w:gridCol w:w="4063"/>
    </w:tblGrid>
    <w:tr w:rsidR="008D2B65" w14:paraId="7E5022AE" w14:textId="77777777" w:rsidTr="00E70A56">
      <w:trPr>
        <w:trHeight w:val="151"/>
      </w:trPr>
      <w:tc>
        <w:tcPr>
          <w:tcW w:w="2137" w:type="pct"/>
          <w:tcBorders>
            <w:bottom w:val="single" w:sz="4" w:space="0" w:color="4F81BD" w:themeColor="accent1"/>
          </w:tcBorders>
        </w:tcPr>
        <w:p w14:paraId="18AFCBB6" w14:textId="77777777" w:rsidR="008D2B65" w:rsidRDefault="008D2B65">
          <w:pPr>
            <w:pStyle w:val="Header"/>
            <w:rPr>
              <w:rFonts w:asciiTheme="majorHAnsi" w:eastAsiaTheme="majorEastAsia" w:hAnsiTheme="majorHAnsi" w:cstheme="majorBidi"/>
              <w:b/>
              <w:bCs/>
            </w:rPr>
          </w:pPr>
        </w:p>
      </w:tc>
      <w:tc>
        <w:tcPr>
          <w:tcW w:w="628" w:type="pct"/>
          <w:vMerge w:val="restart"/>
          <w:noWrap/>
          <w:vAlign w:val="center"/>
        </w:tcPr>
        <w:p w14:paraId="2B26D0F2" w14:textId="536D5C7D" w:rsidR="008D2B65" w:rsidRDefault="008D2B65" w:rsidP="00E70A56">
          <w:pPr>
            <w:pStyle w:val="NoSpacing"/>
            <w:ind w:left="133"/>
            <w:rPr>
              <w:rFonts w:asciiTheme="majorHAnsi" w:eastAsiaTheme="majorEastAsia" w:hAnsiTheme="majorHAnsi" w:cstheme="majorBidi"/>
            </w:rPr>
          </w:pPr>
          <w:r w:rsidRPr="009159B1">
            <w:rPr>
              <w:rFonts w:asciiTheme="majorHAnsi" w:eastAsiaTheme="majorEastAsia" w:hAnsiTheme="majorHAnsi" w:cstheme="majorBidi"/>
              <w:b/>
              <w:bCs/>
            </w:rPr>
            <w:t xml:space="preserve">Page </w:t>
          </w:r>
          <w:r w:rsidRPr="009159B1">
            <w:fldChar w:fldCharType="begin"/>
          </w:r>
          <w:r w:rsidRPr="009159B1">
            <w:instrText xml:space="preserve"> PAGE  \* MERGEFORMAT </w:instrText>
          </w:r>
          <w:r w:rsidRPr="009159B1">
            <w:fldChar w:fldCharType="separate"/>
          </w:r>
          <w:r w:rsidRPr="00B34FA3">
            <w:rPr>
              <w:rFonts w:asciiTheme="majorHAnsi" w:eastAsiaTheme="majorEastAsia" w:hAnsiTheme="majorHAnsi" w:cstheme="majorBidi"/>
              <w:b/>
              <w:bCs/>
              <w:noProof/>
            </w:rPr>
            <w:t>10</w:t>
          </w:r>
          <w:r w:rsidRPr="009159B1">
            <w:rPr>
              <w:rFonts w:asciiTheme="majorHAnsi" w:eastAsiaTheme="majorEastAsia" w:hAnsiTheme="majorHAnsi" w:cstheme="majorBidi"/>
              <w:b/>
              <w:bCs/>
              <w:noProof/>
            </w:rPr>
            <w:fldChar w:fldCharType="end"/>
          </w:r>
        </w:p>
      </w:tc>
      <w:tc>
        <w:tcPr>
          <w:tcW w:w="2235" w:type="pct"/>
          <w:tcBorders>
            <w:bottom w:val="single" w:sz="4" w:space="0" w:color="4F81BD" w:themeColor="accent1"/>
          </w:tcBorders>
        </w:tcPr>
        <w:p w14:paraId="0B2AA6DD" w14:textId="77777777" w:rsidR="008D2B65" w:rsidRDefault="008D2B65">
          <w:pPr>
            <w:pStyle w:val="Header"/>
            <w:rPr>
              <w:rFonts w:asciiTheme="majorHAnsi" w:eastAsiaTheme="majorEastAsia" w:hAnsiTheme="majorHAnsi" w:cstheme="majorBidi"/>
              <w:b/>
              <w:bCs/>
            </w:rPr>
          </w:pPr>
        </w:p>
      </w:tc>
    </w:tr>
    <w:tr w:rsidR="008D2B65" w14:paraId="0F2CEB2F" w14:textId="77777777" w:rsidTr="00E70A56">
      <w:trPr>
        <w:trHeight w:val="150"/>
      </w:trPr>
      <w:tc>
        <w:tcPr>
          <w:tcW w:w="2137" w:type="pct"/>
          <w:tcBorders>
            <w:top w:val="single" w:sz="4" w:space="0" w:color="4F81BD" w:themeColor="accent1"/>
          </w:tcBorders>
        </w:tcPr>
        <w:p w14:paraId="634F6877" w14:textId="77777777" w:rsidR="008D2B65" w:rsidRDefault="008D2B65">
          <w:pPr>
            <w:pStyle w:val="Header"/>
            <w:rPr>
              <w:rFonts w:asciiTheme="majorHAnsi" w:eastAsiaTheme="majorEastAsia" w:hAnsiTheme="majorHAnsi" w:cstheme="majorBidi"/>
              <w:b/>
              <w:bCs/>
            </w:rPr>
          </w:pPr>
        </w:p>
      </w:tc>
      <w:tc>
        <w:tcPr>
          <w:tcW w:w="628" w:type="pct"/>
          <w:vMerge/>
        </w:tcPr>
        <w:p w14:paraId="786795C9" w14:textId="77777777" w:rsidR="008D2B65" w:rsidRDefault="008D2B65">
          <w:pPr>
            <w:pStyle w:val="Header"/>
            <w:jc w:val="center"/>
            <w:rPr>
              <w:rFonts w:asciiTheme="majorHAnsi" w:eastAsiaTheme="majorEastAsia" w:hAnsiTheme="majorHAnsi" w:cstheme="majorBidi"/>
              <w:b/>
              <w:bCs/>
            </w:rPr>
          </w:pPr>
        </w:p>
      </w:tc>
      <w:tc>
        <w:tcPr>
          <w:tcW w:w="2235" w:type="pct"/>
          <w:tcBorders>
            <w:top w:val="single" w:sz="4" w:space="0" w:color="4F81BD" w:themeColor="accent1"/>
          </w:tcBorders>
        </w:tcPr>
        <w:p w14:paraId="38EA4A30" w14:textId="77777777" w:rsidR="008D2B65" w:rsidRDefault="008D2B65">
          <w:pPr>
            <w:pStyle w:val="Header"/>
            <w:rPr>
              <w:rFonts w:asciiTheme="majorHAnsi" w:eastAsiaTheme="majorEastAsia" w:hAnsiTheme="majorHAnsi" w:cstheme="majorBidi"/>
              <w:b/>
              <w:bCs/>
            </w:rPr>
          </w:pPr>
        </w:p>
      </w:tc>
    </w:tr>
  </w:tbl>
  <w:p w14:paraId="49471216" w14:textId="77777777" w:rsidR="008D2B65" w:rsidRDefault="008D2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61"/>
      <w:gridCol w:w="903"/>
      <w:gridCol w:w="4062"/>
    </w:tblGrid>
    <w:tr w:rsidR="008D2B65" w14:paraId="4E05C3BD" w14:textId="77777777">
      <w:trPr>
        <w:trHeight w:val="151"/>
      </w:trPr>
      <w:tc>
        <w:tcPr>
          <w:tcW w:w="2250" w:type="pct"/>
          <w:tcBorders>
            <w:bottom w:val="single" w:sz="4" w:space="0" w:color="4F81BD" w:themeColor="accent1"/>
          </w:tcBorders>
        </w:tcPr>
        <w:p w14:paraId="4A46725B" w14:textId="77777777" w:rsidR="008D2B65" w:rsidRDefault="008D2B65">
          <w:pPr>
            <w:pStyle w:val="Header"/>
            <w:rPr>
              <w:rFonts w:asciiTheme="majorHAnsi" w:eastAsiaTheme="majorEastAsia" w:hAnsiTheme="majorHAnsi" w:cstheme="majorBidi"/>
              <w:b/>
              <w:bCs/>
            </w:rPr>
          </w:pPr>
        </w:p>
      </w:tc>
      <w:tc>
        <w:tcPr>
          <w:tcW w:w="500" w:type="pct"/>
          <w:vMerge w:val="restart"/>
          <w:noWrap/>
          <w:vAlign w:val="center"/>
        </w:tcPr>
        <w:p w14:paraId="0B9DDFDC" w14:textId="3D560BD1" w:rsidR="008D2B65" w:rsidRDefault="008D2B65">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4B5AE0">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42A1A362" w14:textId="77777777" w:rsidR="008D2B65" w:rsidRDefault="008D2B65">
          <w:pPr>
            <w:pStyle w:val="Header"/>
            <w:rPr>
              <w:rFonts w:asciiTheme="majorHAnsi" w:eastAsiaTheme="majorEastAsia" w:hAnsiTheme="majorHAnsi" w:cstheme="majorBidi"/>
              <w:b/>
              <w:bCs/>
            </w:rPr>
          </w:pPr>
        </w:p>
      </w:tc>
    </w:tr>
    <w:tr w:rsidR="008D2B65" w14:paraId="25B8E631" w14:textId="77777777">
      <w:trPr>
        <w:trHeight w:val="150"/>
      </w:trPr>
      <w:tc>
        <w:tcPr>
          <w:tcW w:w="2250" w:type="pct"/>
          <w:tcBorders>
            <w:top w:val="single" w:sz="4" w:space="0" w:color="4F81BD" w:themeColor="accent1"/>
          </w:tcBorders>
        </w:tcPr>
        <w:p w14:paraId="4E32FB08" w14:textId="77777777" w:rsidR="008D2B65" w:rsidRDefault="008D2B65">
          <w:pPr>
            <w:pStyle w:val="Header"/>
            <w:rPr>
              <w:rFonts w:asciiTheme="majorHAnsi" w:eastAsiaTheme="majorEastAsia" w:hAnsiTheme="majorHAnsi" w:cstheme="majorBidi"/>
              <w:b/>
              <w:bCs/>
            </w:rPr>
          </w:pPr>
        </w:p>
      </w:tc>
      <w:tc>
        <w:tcPr>
          <w:tcW w:w="500" w:type="pct"/>
          <w:vMerge/>
        </w:tcPr>
        <w:p w14:paraId="14D545CA" w14:textId="77777777" w:rsidR="008D2B65" w:rsidRDefault="008D2B6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4E30EBA" w14:textId="77777777" w:rsidR="008D2B65" w:rsidRDefault="008D2B65">
          <w:pPr>
            <w:pStyle w:val="Header"/>
            <w:rPr>
              <w:rFonts w:asciiTheme="majorHAnsi" w:eastAsiaTheme="majorEastAsia" w:hAnsiTheme="majorHAnsi" w:cstheme="majorBidi"/>
              <w:b/>
              <w:bCs/>
            </w:rPr>
          </w:pPr>
        </w:p>
      </w:tc>
    </w:tr>
  </w:tbl>
  <w:p w14:paraId="41639980" w14:textId="77777777" w:rsidR="008D2B65" w:rsidRDefault="008D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065A" w14:textId="77777777" w:rsidR="00467F09" w:rsidRDefault="00467F09" w:rsidP="00305E4E">
      <w:pPr>
        <w:spacing w:before="0"/>
      </w:pPr>
      <w:r>
        <w:separator/>
      </w:r>
    </w:p>
  </w:footnote>
  <w:footnote w:type="continuationSeparator" w:id="0">
    <w:p w14:paraId="4C5A494D" w14:textId="77777777" w:rsidR="00467F09" w:rsidRDefault="00467F09" w:rsidP="00305E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b/>
        <w:lang w:val="en-GB"/>
      </w:rPr>
      <w:alias w:val="Title"/>
      <w:id w:val="77547040"/>
      <w:placeholder>
        <w:docPart w:val="76BAB3BE25084843BA9F105429AF3703"/>
      </w:placeholder>
      <w:dataBinding w:prefixMappings="xmlns:ns0='http://schemas.openxmlformats.org/package/2006/metadata/core-properties' xmlns:ns1='http://purl.org/dc/elements/1.1/'" w:xpath="/ns0:coreProperties[1]/ns1:title[1]" w:storeItemID="{6C3C8BC8-F283-45AE-878A-BAB7291924A1}"/>
      <w:text/>
    </w:sdtPr>
    <w:sdtEndPr/>
    <w:sdtContent>
      <w:p w14:paraId="5DECF74E" w14:textId="77777777" w:rsidR="008D2B65" w:rsidRPr="00305E4E" w:rsidRDefault="008D2B65" w:rsidP="00305E4E">
        <w:pPr>
          <w:pStyle w:val="Header"/>
          <w:pBdr>
            <w:between w:val="single" w:sz="4" w:space="1" w:color="4F81BD" w:themeColor="accent1"/>
          </w:pBdr>
          <w:spacing w:line="276" w:lineRule="auto"/>
          <w:rPr>
            <w:lang w:val="en-GB"/>
          </w:rPr>
        </w:pPr>
        <w:r>
          <w:rPr>
            <w:rFonts w:ascii="Arial Black" w:hAnsi="Arial Black"/>
            <w:b/>
            <w:lang w:val="en-GB"/>
          </w:rPr>
          <w:t>IPC-1754 User Guidance</w:t>
        </w:r>
      </w:p>
    </w:sdtContent>
  </w:sdt>
  <w:sdt>
    <w:sdtPr>
      <w:rPr>
        <w:b/>
      </w:rPr>
      <w:alias w:val="Date"/>
      <w:id w:val="77547044"/>
      <w:placeholder>
        <w:docPart w:val="FFFC7E4AE9D44A19A229AD95F279C95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6D84C5E" w14:textId="7BC9EF1B" w:rsidR="008D2B65" w:rsidRPr="00E70A56" w:rsidRDefault="00BD050D" w:rsidP="001B6F1E">
        <w:pPr>
          <w:pStyle w:val="Header"/>
          <w:pBdr>
            <w:between w:val="single" w:sz="4" w:space="1" w:color="4F81BD" w:themeColor="accent1"/>
          </w:pBdr>
          <w:spacing w:line="276" w:lineRule="auto"/>
          <w:jc w:val="right"/>
          <w:rPr>
            <w:b/>
            <w:lang w:val="en-GB"/>
          </w:rPr>
        </w:pPr>
        <w:r>
          <w:rPr>
            <w:b/>
          </w:rPr>
          <w:t>V2.0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904F" w14:textId="77777777" w:rsidR="008D2B65" w:rsidRDefault="008D2B65">
    <w:pPr>
      <w:pStyle w:val="Header"/>
    </w:pPr>
    <w:r w:rsidRPr="00793D8D">
      <w:object w:dxaOrig="7305" w:dyaOrig="2230" w14:anchorId="2048A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48pt">
          <v:imagedata r:id="rId1" o:title=""/>
        </v:shape>
        <o:OLEObject Type="Embed" ProgID="Visio.Drawing.11" ShapeID="_x0000_i1026" DrawAspect="Content" ObjectID="_17396892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84pt;height:84pt" o:bullet="t">
        <v:imagedata r:id="rId1" o:title="Bullets_3DS_level1"/>
      </v:shape>
    </w:pict>
  </w:numPicBullet>
  <w:abstractNum w:abstractNumId="0" w15:restartNumberingAfterBreak="0">
    <w:nsid w:val="ABCEB2AA"/>
    <w:multiLevelType w:val="hybridMultilevel"/>
    <w:tmpl w:val="56FA70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1CC2A5EE"/>
    <w:lvl w:ilvl="0">
      <w:start w:val="1"/>
      <w:numFmt w:val="bullet"/>
      <w:pStyle w:val="ListBullet4"/>
      <w:lvlText w:val=""/>
      <w:lvlPicBulletId w:val="0"/>
      <w:lvlJc w:val="left"/>
      <w:pPr>
        <w:ind w:left="2919" w:hanging="360"/>
      </w:pPr>
      <w:rPr>
        <w:rFonts w:ascii="Symbol" w:hAnsi="Symbol" w:hint="default"/>
        <w:color w:val="auto"/>
      </w:rPr>
    </w:lvl>
  </w:abstractNum>
  <w:abstractNum w:abstractNumId="2" w15:restartNumberingAfterBreak="0">
    <w:nsid w:val="FFFFFF82"/>
    <w:multiLevelType w:val="singleLevel"/>
    <w:tmpl w:val="31005E16"/>
    <w:lvl w:ilvl="0">
      <w:start w:val="1"/>
      <w:numFmt w:val="bullet"/>
      <w:pStyle w:val="ListBullet3"/>
      <w:lvlText w:val=""/>
      <w:lvlJc w:val="left"/>
      <w:pPr>
        <w:ind w:left="926" w:hanging="360"/>
      </w:pPr>
      <w:rPr>
        <w:rFonts w:ascii="Wingdings" w:hAnsi="Wingdings" w:hint="default"/>
      </w:rPr>
    </w:lvl>
  </w:abstractNum>
  <w:abstractNum w:abstractNumId="3" w15:restartNumberingAfterBreak="0">
    <w:nsid w:val="FFFFFF83"/>
    <w:multiLevelType w:val="singleLevel"/>
    <w:tmpl w:val="0BF86B32"/>
    <w:lvl w:ilvl="0">
      <w:start w:val="1"/>
      <w:numFmt w:val="bullet"/>
      <w:pStyle w:val="ListBullet2"/>
      <w:lvlText w:val="­"/>
      <w:lvlJc w:val="left"/>
      <w:pPr>
        <w:ind w:left="643" w:hanging="360"/>
      </w:pPr>
      <w:rPr>
        <w:rFonts w:ascii="Arial" w:hAnsi="Arial" w:hint="default"/>
      </w:rPr>
    </w:lvl>
  </w:abstractNum>
  <w:abstractNum w:abstractNumId="4" w15:restartNumberingAfterBreak="0">
    <w:nsid w:val="FFFFFF88"/>
    <w:multiLevelType w:val="singleLevel"/>
    <w:tmpl w:val="23803694"/>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3D987C7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7B158C"/>
    <w:multiLevelType w:val="multilevel"/>
    <w:tmpl w:val="80269A9A"/>
    <w:lvl w:ilvl="0">
      <w:start w:val="1"/>
      <w:numFmt w:val="decimal"/>
      <w:pStyle w:val="3DSTit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1A3523"/>
    <w:multiLevelType w:val="hybridMultilevel"/>
    <w:tmpl w:val="598CC7FA"/>
    <w:lvl w:ilvl="0" w:tplc="5F3043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D149F"/>
    <w:multiLevelType w:val="hybridMultilevel"/>
    <w:tmpl w:val="37F4E754"/>
    <w:lvl w:ilvl="0" w:tplc="3D821A92">
      <w:start w:val="1"/>
      <w:numFmt w:val="bullet"/>
      <w:lvlText w:val="•"/>
      <w:lvlJc w:val="left"/>
      <w:pPr>
        <w:tabs>
          <w:tab w:val="num" w:pos="720"/>
        </w:tabs>
        <w:ind w:left="720" w:hanging="360"/>
      </w:pPr>
      <w:rPr>
        <w:rFonts w:ascii="Arial" w:hAnsi="Arial" w:cs="Times New Roman" w:hint="default"/>
      </w:rPr>
    </w:lvl>
    <w:lvl w:ilvl="1" w:tplc="BDBA10CA">
      <w:numFmt w:val="none"/>
      <w:lvlText w:val=""/>
      <w:lvlJc w:val="left"/>
      <w:pPr>
        <w:tabs>
          <w:tab w:val="num" w:pos="360"/>
        </w:tabs>
        <w:ind w:left="0" w:firstLine="0"/>
      </w:pPr>
    </w:lvl>
    <w:lvl w:ilvl="2" w:tplc="5C103258">
      <w:start w:val="1"/>
      <w:numFmt w:val="bullet"/>
      <w:lvlText w:val="•"/>
      <w:lvlJc w:val="left"/>
      <w:pPr>
        <w:tabs>
          <w:tab w:val="num" w:pos="2160"/>
        </w:tabs>
        <w:ind w:left="2160" w:hanging="360"/>
      </w:pPr>
      <w:rPr>
        <w:rFonts w:ascii="Arial" w:hAnsi="Arial" w:cs="Times New Roman" w:hint="default"/>
      </w:rPr>
    </w:lvl>
    <w:lvl w:ilvl="3" w:tplc="DA94E6E2">
      <w:start w:val="1"/>
      <w:numFmt w:val="bullet"/>
      <w:lvlText w:val="•"/>
      <w:lvlJc w:val="left"/>
      <w:pPr>
        <w:tabs>
          <w:tab w:val="num" w:pos="2880"/>
        </w:tabs>
        <w:ind w:left="2880" w:hanging="360"/>
      </w:pPr>
      <w:rPr>
        <w:rFonts w:ascii="Arial" w:hAnsi="Arial" w:cs="Times New Roman" w:hint="default"/>
      </w:rPr>
    </w:lvl>
    <w:lvl w:ilvl="4" w:tplc="1CCAF6CE">
      <w:start w:val="1"/>
      <w:numFmt w:val="bullet"/>
      <w:lvlText w:val="•"/>
      <w:lvlJc w:val="left"/>
      <w:pPr>
        <w:tabs>
          <w:tab w:val="num" w:pos="3600"/>
        </w:tabs>
        <w:ind w:left="3600" w:hanging="360"/>
      </w:pPr>
      <w:rPr>
        <w:rFonts w:ascii="Arial" w:hAnsi="Arial" w:cs="Times New Roman" w:hint="default"/>
      </w:rPr>
    </w:lvl>
    <w:lvl w:ilvl="5" w:tplc="E4F2D59E">
      <w:start w:val="1"/>
      <w:numFmt w:val="bullet"/>
      <w:lvlText w:val="•"/>
      <w:lvlJc w:val="left"/>
      <w:pPr>
        <w:tabs>
          <w:tab w:val="num" w:pos="4320"/>
        </w:tabs>
        <w:ind w:left="4320" w:hanging="360"/>
      </w:pPr>
      <w:rPr>
        <w:rFonts w:ascii="Arial" w:hAnsi="Arial" w:cs="Times New Roman" w:hint="default"/>
      </w:rPr>
    </w:lvl>
    <w:lvl w:ilvl="6" w:tplc="B6A0BD16">
      <w:start w:val="1"/>
      <w:numFmt w:val="bullet"/>
      <w:lvlText w:val="•"/>
      <w:lvlJc w:val="left"/>
      <w:pPr>
        <w:tabs>
          <w:tab w:val="num" w:pos="5040"/>
        </w:tabs>
        <w:ind w:left="5040" w:hanging="360"/>
      </w:pPr>
      <w:rPr>
        <w:rFonts w:ascii="Arial" w:hAnsi="Arial" w:cs="Times New Roman" w:hint="default"/>
      </w:rPr>
    </w:lvl>
    <w:lvl w:ilvl="7" w:tplc="66E84CF2">
      <w:start w:val="1"/>
      <w:numFmt w:val="bullet"/>
      <w:lvlText w:val="•"/>
      <w:lvlJc w:val="left"/>
      <w:pPr>
        <w:tabs>
          <w:tab w:val="num" w:pos="5760"/>
        </w:tabs>
        <w:ind w:left="5760" w:hanging="360"/>
      </w:pPr>
      <w:rPr>
        <w:rFonts w:ascii="Arial" w:hAnsi="Arial" w:cs="Times New Roman" w:hint="default"/>
      </w:rPr>
    </w:lvl>
    <w:lvl w:ilvl="8" w:tplc="60D668A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19745C3"/>
    <w:multiLevelType w:val="hybridMultilevel"/>
    <w:tmpl w:val="D250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12B35"/>
    <w:multiLevelType w:val="hybridMultilevel"/>
    <w:tmpl w:val="91AE54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3964AD"/>
    <w:multiLevelType w:val="hybridMultilevel"/>
    <w:tmpl w:val="0A0CE362"/>
    <w:lvl w:ilvl="0" w:tplc="A32C771A">
      <w:start w:val="1"/>
      <w:numFmt w:val="bullet"/>
      <w:lvlText w:val="•"/>
      <w:lvlJc w:val="left"/>
      <w:pPr>
        <w:tabs>
          <w:tab w:val="num" w:pos="720"/>
        </w:tabs>
        <w:ind w:left="720" w:hanging="360"/>
      </w:pPr>
      <w:rPr>
        <w:rFonts w:ascii="Arial" w:hAnsi="Arial" w:cs="Times New Roman" w:hint="default"/>
      </w:rPr>
    </w:lvl>
    <w:lvl w:ilvl="1" w:tplc="BBD8EF9C">
      <w:numFmt w:val="bullet"/>
      <w:lvlText w:val="•"/>
      <w:lvlJc w:val="left"/>
      <w:pPr>
        <w:tabs>
          <w:tab w:val="num" w:pos="1440"/>
        </w:tabs>
        <w:ind w:left="1440" w:hanging="360"/>
      </w:pPr>
      <w:rPr>
        <w:rFonts w:ascii="Arial" w:hAnsi="Arial" w:cs="Times New Roman" w:hint="default"/>
      </w:rPr>
    </w:lvl>
    <w:lvl w:ilvl="2" w:tplc="F404F704">
      <w:start w:val="1"/>
      <w:numFmt w:val="bullet"/>
      <w:lvlText w:val="•"/>
      <w:lvlJc w:val="left"/>
      <w:pPr>
        <w:tabs>
          <w:tab w:val="num" w:pos="2160"/>
        </w:tabs>
        <w:ind w:left="2160" w:hanging="360"/>
      </w:pPr>
      <w:rPr>
        <w:rFonts w:ascii="Arial" w:hAnsi="Arial" w:cs="Times New Roman" w:hint="default"/>
      </w:rPr>
    </w:lvl>
    <w:lvl w:ilvl="3" w:tplc="142E940C">
      <w:start w:val="1"/>
      <w:numFmt w:val="bullet"/>
      <w:lvlText w:val="•"/>
      <w:lvlJc w:val="left"/>
      <w:pPr>
        <w:tabs>
          <w:tab w:val="num" w:pos="2880"/>
        </w:tabs>
        <w:ind w:left="2880" w:hanging="360"/>
      </w:pPr>
      <w:rPr>
        <w:rFonts w:ascii="Arial" w:hAnsi="Arial" w:cs="Times New Roman" w:hint="default"/>
      </w:rPr>
    </w:lvl>
    <w:lvl w:ilvl="4" w:tplc="28D033F2">
      <w:start w:val="1"/>
      <w:numFmt w:val="bullet"/>
      <w:lvlText w:val="•"/>
      <w:lvlJc w:val="left"/>
      <w:pPr>
        <w:tabs>
          <w:tab w:val="num" w:pos="3600"/>
        </w:tabs>
        <w:ind w:left="3600" w:hanging="360"/>
      </w:pPr>
      <w:rPr>
        <w:rFonts w:ascii="Arial" w:hAnsi="Arial" w:cs="Times New Roman" w:hint="default"/>
      </w:rPr>
    </w:lvl>
    <w:lvl w:ilvl="5" w:tplc="284898D4">
      <w:start w:val="1"/>
      <w:numFmt w:val="bullet"/>
      <w:lvlText w:val="•"/>
      <w:lvlJc w:val="left"/>
      <w:pPr>
        <w:tabs>
          <w:tab w:val="num" w:pos="4320"/>
        </w:tabs>
        <w:ind w:left="4320" w:hanging="360"/>
      </w:pPr>
      <w:rPr>
        <w:rFonts w:ascii="Arial" w:hAnsi="Arial" w:cs="Times New Roman" w:hint="default"/>
      </w:rPr>
    </w:lvl>
    <w:lvl w:ilvl="6" w:tplc="93FA41CA">
      <w:start w:val="1"/>
      <w:numFmt w:val="bullet"/>
      <w:lvlText w:val="•"/>
      <w:lvlJc w:val="left"/>
      <w:pPr>
        <w:tabs>
          <w:tab w:val="num" w:pos="5040"/>
        </w:tabs>
        <w:ind w:left="5040" w:hanging="360"/>
      </w:pPr>
      <w:rPr>
        <w:rFonts w:ascii="Arial" w:hAnsi="Arial" w:cs="Times New Roman" w:hint="default"/>
      </w:rPr>
    </w:lvl>
    <w:lvl w:ilvl="7" w:tplc="30BCF8A8">
      <w:start w:val="1"/>
      <w:numFmt w:val="bullet"/>
      <w:lvlText w:val="•"/>
      <w:lvlJc w:val="left"/>
      <w:pPr>
        <w:tabs>
          <w:tab w:val="num" w:pos="5760"/>
        </w:tabs>
        <w:ind w:left="5760" w:hanging="360"/>
      </w:pPr>
      <w:rPr>
        <w:rFonts w:ascii="Arial" w:hAnsi="Arial" w:cs="Times New Roman" w:hint="default"/>
      </w:rPr>
    </w:lvl>
    <w:lvl w:ilvl="8" w:tplc="F8C400BE">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4EF3907"/>
    <w:multiLevelType w:val="hybridMultilevel"/>
    <w:tmpl w:val="1B6EC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1E0C31"/>
    <w:multiLevelType w:val="hybridMultilevel"/>
    <w:tmpl w:val="C494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652CB"/>
    <w:multiLevelType w:val="hybridMultilevel"/>
    <w:tmpl w:val="FCE21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F05AB0"/>
    <w:multiLevelType w:val="multilevel"/>
    <w:tmpl w:val="A9105554"/>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5043FD0"/>
    <w:multiLevelType w:val="multilevel"/>
    <w:tmpl w:val="9F0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96C65"/>
    <w:multiLevelType w:val="hybridMultilevel"/>
    <w:tmpl w:val="A4D403A0"/>
    <w:lvl w:ilvl="0" w:tplc="6DD281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4340B"/>
    <w:multiLevelType w:val="hybridMultilevel"/>
    <w:tmpl w:val="1318C4D2"/>
    <w:lvl w:ilvl="0" w:tplc="5F3043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2778D"/>
    <w:multiLevelType w:val="hybridMultilevel"/>
    <w:tmpl w:val="40F09B06"/>
    <w:lvl w:ilvl="0" w:tplc="BBDED72C">
      <w:numFmt w:val="bullet"/>
      <w:lvlText w:val="-"/>
      <w:lvlJc w:val="left"/>
      <w:pPr>
        <w:ind w:left="870" w:hanging="360"/>
      </w:pPr>
      <w:rPr>
        <w:rFonts w:ascii="Calibri" w:eastAsiaTheme="minorHAnsi" w:hAnsi="Calibri" w:cs="Calibr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15:restartNumberingAfterBreak="0">
    <w:nsid w:val="7C354033"/>
    <w:multiLevelType w:val="hybridMultilevel"/>
    <w:tmpl w:val="55D2BB60"/>
    <w:lvl w:ilvl="0" w:tplc="E0C2EC9E">
      <w:start w:val="1"/>
      <w:numFmt w:val="decimal"/>
      <w:lvlText w:val="%1)"/>
      <w:lvlJc w:val="left"/>
      <w:pPr>
        <w:tabs>
          <w:tab w:val="num" w:pos="1080"/>
        </w:tabs>
        <w:ind w:left="1080" w:hanging="360"/>
      </w:pPr>
    </w:lvl>
    <w:lvl w:ilvl="1" w:tplc="1BE45602">
      <w:start w:val="1"/>
      <w:numFmt w:val="decimal"/>
      <w:lvlText w:val="%2)"/>
      <w:lvlJc w:val="left"/>
      <w:pPr>
        <w:tabs>
          <w:tab w:val="num" w:pos="1800"/>
        </w:tabs>
        <w:ind w:left="1800" w:hanging="360"/>
      </w:pPr>
    </w:lvl>
    <w:lvl w:ilvl="2" w:tplc="0A6890E6">
      <w:start w:val="1"/>
      <w:numFmt w:val="decimal"/>
      <w:lvlText w:val="%3)"/>
      <w:lvlJc w:val="left"/>
      <w:pPr>
        <w:tabs>
          <w:tab w:val="num" w:pos="2520"/>
        </w:tabs>
        <w:ind w:left="2520" w:hanging="360"/>
      </w:pPr>
    </w:lvl>
    <w:lvl w:ilvl="3" w:tplc="4C62B5EE">
      <w:start w:val="1"/>
      <w:numFmt w:val="decimal"/>
      <w:lvlText w:val="%4)"/>
      <w:lvlJc w:val="left"/>
      <w:pPr>
        <w:tabs>
          <w:tab w:val="num" w:pos="3240"/>
        </w:tabs>
        <w:ind w:left="3240" w:hanging="360"/>
      </w:pPr>
    </w:lvl>
    <w:lvl w:ilvl="4" w:tplc="EB10557E">
      <w:start w:val="1"/>
      <w:numFmt w:val="decimal"/>
      <w:lvlText w:val="%5)"/>
      <w:lvlJc w:val="left"/>
      <w:pPr>
        <w:tabs>
          <w:tab w:val="num" w:pos="3960"/>
        </w:tabs>
        <w:ind w:left="3960" w:hanging="360"/>
      </w:pPr>
    </w:lvl>
    <w:lvl w:ilvl="5" w:tplc="220462EE">
      <w:start w:val="1"/>
      <w:numFmt w:val="decimal"/>
      <w:lvlText w:val="%6)"/>
      <w:lvlJc w:val="left"/>
      <w:pPr>
        <w:tabs>
          <w:tab w:val="num" w:pos="4680"/>
        </w:tabs>
        <w:ind w:left="4680" w:hanging="360"/>
      </w:pPr>
    </w:lvl>
    <w:lvl w:ilvl="6" w:tplc="C5CCD2DC">
      <w:start w:val="1"/>
      <w:numFmt w:val="decimal"/>
      <w:lvlText w:val="%7)"/>
      <w:lvlJc w:val="left"/>
      <w:pPr>
        <w:tabs>
          <w:tab w:val="num" w:pos="5400"/>
        </w:tabs>
        <w:ind w:left="5400" w:hanging="360"/>
      </w:pPr>
    </w:lvl>
    <w:lvl w:ilvl="7" w:tplc="C7E8B5FA">
      <w:start w:val="1"/>
      <w:numFmt w:val="decimal"/>
      <w:lvlText w:val="%8)"/>
      <w:lvlJc w:val="left"/>
      <w:pPr>
        <w:tabs>
          <w:tab w:val="num" w:pos="6120"/>
        </w:tabs>
        <w:ind w:left="6120" w:hanging="360"/>
      </w:pPr>
    </w:lvl>
    <w:lvl w:ilvl="8" w:tplc="BCC46164">
      <w:start w:val="1"/>
      <w:numFmt w:val="decimal"/>
      <w:lvlText w:val="%9)"/>
      <w:lvlJc w:val="left"/>
      <w:pPr>
        <w:tabs>
          <w:tab w:val="num" w:pos="6840"/>
        </w:tabs>
        <w:ind w:left="6840" w:hanging="360"/>
      </w:pPr>
    </w:lvl>
  </w:abstractNum>
  <w:num w:numId="1" w16cid:durableId="724331091">
    <w:abstractNumId w:val="6"/>
  </w:num>
  <w:num w:numId="2" w16cid:durableId="1387727755">
    <w:abstractNumId w:val="1"/>
  </w:num>
  <w:num w:numId="3" w16cid:durableId="2117870454">
    <w:abstractNumId w:val="3"/>
  </w:num>
  <w:num w:numId="4" w16cid:durableId="1792506989">
    <w:abstractNumId w:val="2"/>
  </w:num>
  <w:num w:numId="5" w16cid:durableId="977686456">
    <w:abstractNumId w:val="5"/>
  </w:num>
  <w:num w:numId="6" w16cid:durableId="900210490">
    <w:abstractNumId w:val="4"/>
  </w:num>
  <w:num w:numId="7" w16cid:durableId="2007398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236014">
    <w:abstractNumId w:val="7"/>
  </w:num>
  <w:num w:numId="9" w16cid:durableId="525867149">
    <w:abstractNumId w:val="17"/>
  </w:num>
  <w:num w:numId="10" w16cid:durableId="246309173">
    <w:abstractNumId w:val="18"/>
  </w:num>
  <w:num w:numId="11" w16cid:durableId="862979772">
    <w:abstractNumId w:val="10"/>
  </w:num>
  <w:num w:numId="12" w16cid:durableId="620233496">
    <w:abstractNumId w:val="15"/>
  </w:num>
  <w:num w:numId="13" w16cid:durableId="6332978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584704">
    <w:abstractNumId w:val="14"/>
  </w:num>
  <w:num w:numId="15" w16cid:durableId="418600815">
    <w:abstractNumId w:val="13"/>
  </w:num>
  <w:num w:numId="16" w16cid:durableId="878904558">
    <w:abstractNumId w:val="12"/>
  </w:num>
  <w:num w:numId="17" w16cid:durableId="1960988882">
    <w:abstractNumId w:val="11"/>
  </w:num>
  <w:num w:numId="18" w16cid:durableId="1284657637">
    <w:abstractNumId w:val="8"/>
  </w:num>
  <w:num w:numId="19" w16cid:durableId="1508517367">
    <w:abstractNumId w:val="19"/>
  </w:num>
  <w:num w:numId="20" w16cid:durableId="901021258">
    <w:abstractNumId w:val="16"/>
  </w:num>
  <w:num w:numId="21" w16cid:durableId="1871338598">
    <w:abstractNumId w:val="9"/>
  </w:num>
  <w:num w:numId="22" w16cid:durableId="11520601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0"/>
  <w:activeWritingStyle w:appName="MSWord" w:lang="en-MY"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71"/>
    <w:rsid w:val="00000BE1"/>
    <w:rsid w:val="000042C0"/>
    <w:rsid w:val="000046C9"/>
    <w:rsid w:val="0000629D"/>
    <w:rsid w:val="000062EC"/>
    <w:rsid w:val="0001218D"/>
    <w:rsid w:val="00012883"/>
    <w:rsid w:val="0001369B"/>
    <w:rsid w:val="000139FE"/>
    <w:rsid w:val="00015F5F"/>
    <w:rsid w:val="000164E5"/>
    <w:rsid w:val="00016D38"/>
    <w:rsid w:val="00016FDB"/>
    <w:rsid w:val="0001729C"/>
    <w:rsid w:val="00017FD7"/>
    <w:rsid w:val="00020828"/>
    <w:rsid w:val="00020FC0"/>
    <w:rsid w:val="00021022"/>
    <w:rsid w:val="00022A85"/>
    <w:rsid w:val="00026227"/>
    <w:rsid w:val="00027E71"/>
    <w:rsid w:val="00033BF2"/>
    <w:rsid w:val="000341F6"/>
    <w:rsid w:val="00034E6B"/>
    <w:rsid w:val="000351C1"/>
    <w:rsid w:val="00037FDD"/>
    <w:rsid w:val="0004056B"/>
    <w:rsid w:val="00042A6A"/>
    <w:rsid w:val="00045209"/>
    <w:rsid w:val="0004776B"/>
    <w:rsid w:val="00050BD1"/>
    <w:rsid w:val="00052BCC"/>
    <w:rsid w:val="00054D14"/>
    <w:rsid w:val="000578E1"/>
    <w:rsid w:val="00062F86"/>
    <w:rsid w:val="0006517D"/>
    <w:rsid w:val="0006545C"/>
    <w:rsid w:val="00065E3F"/>
    <w:rsid w:val="00067D9C"/>
    <w:rsid w:val="00070670"/>
    <w:rsid w:val="00071AAD"/>
    <w:rsid w:val="00071DAE"/>
    <w:rsid w:val="000722C3"/>
    <w:rsid w:val="00075CA7"/>
    <w:rsid w:val="00076851"/>
    <w:rsid w:val="00076E6B"/>
    <w:rsid w:val="0007775F"/>
    <w:rsid w:val="00077AEC"/>
    <w:rsid w:val="00077AF5"/>
    <w:rsid w:val="000824BC"/>
    <w:rsid w:val="00083B9E"/>
    <w:rsid w:val="00087AC7"/>
    <w:rsid w:val="00087EE5"/>
    <w:rsid w:val="00087F6E"/>
    <w:rsid w:val="00091A8A"/>
    <w:rsid w:val="000924FF"/>
    <w:rsid w:val="00092C26"/>
    <w:rsid w:val="00094118"/>
    <w:rsid w:val="000955B2"/>
    <w:rsid w:val="00095D69"/>
    <w:rsid w:val="00096E59"/>
    <w:rsid w:val="0009724D"/>
    <w:rsid w:val="000A49DF"/>
    <w:rsid w:val="000A7E11"/>
    <w:rsid w:val="000B04DE"/>
    <w:rsid w:val="000B19EC"/>
    <w:rsid w:val="000B204C"/>
    <w:rsid w:val="000B2AB2"/>
    <w:rsid w:val="000B33E7"/>
    <w:rsid w:val="000B5106"/>
    <w:rsid w:val="000B67BD"/>
    <w:rsid w:val="000C0264"/>
    <w:rsid w:val="000C310A"/>
    <w:rsid w:val="000C447C"/>
    <w:rsid w:val="000C51C7"/>
    <w:rsid w:val="000C638D"/>
    <w:rsid w:val="000D17CB"/>
    <w:rsid w:val="000D55E4"/>
    <w:rsid w:val="000D62C7"/>
    <w:rsid w:val="000D7F22"/>
    <w:rsid w:val="000E0355"/>
    <w:rsid w:val="000E1EF4"/>
    <w:rsid w:val="000E2320"/>
    <w:rsid w:val="000E2443"/>
    <w:rsid w:val="000E303D"/>
    <w:rsid w:val="000E31B1"/>
    <w:rsid w:val="000E69E1"/>
    <w:rsid w:val="000E75B4"/>
    <w:rsid w:val="000F3602"/>
    <w:rsid w:val="000F3BCB"/>
    <w:rsid w:val="000F4E6B"/>
    <w:rsid w:val="000F5023"/>
    <w:rsid w:val="000F58C7"/>
    <w:rsid w:val="000F7D74"/>
    <w:rsid w:val="00101A21"/>
    <w:rsid w:val="00101D6E"/>
    <w:rsid w:val="0010250C"/>
    <w:rsid w:val="001155F3"/>
    <w:rsid w:val="001158EB"/>
    <w:rsid w:val="001165ED"/>
    <w:rsid w:val="00117350"/>
    <w:rsid w:val="00121144"/>
    <w:rsid w:val="0012269E"/>
    <w:rsid w:val="001239AE"/>
    <w:rsid w:val="001246CF"/>
    <w:rsid w:val="00125410"/>
    <w:rsid w:val="00125C93"/>
    <w:rsid w:val="00126269"/>
    <w:rsid w:val="00126290"/>
    <w:rsid w:val="001334F3"/>
    <w:rsid w:val="0013394B"/>
    <w:rsid w:val="00134F6A"/>
    <w:rsid w:val="00135BDE"/>
    <w:rsid w:val="00137BE7"/>
    <w:rsid w:val="001408DD"/>
    <w:rsid w:val="0014115D"/>
    <w:rsid w:val="00141DFC"/>
    <w:rsid w:val="00142C57"/>
    <w:rsid w:val="0014506B"/>
    <w:rsid w:val="00147270"/>
    <w:rsid w:val="00147844"/>
    <w:rsid w:val="00150320"/>
    <w:rsid w:val="001503B8"/>
    <w:rsid w:val="00150E3A"/>
    <w:rsid w:val="001540E0"/>
    <w:rsid w:val="00155B2E"/>
    <w:rsid w:val="00161866"/>
    <w:rsid w:val="0016214D"/>
    <w:rsid w:val="0016216D"/>
    <w:rsid w:val="001655C6"/>
    <w:rsid w:val="00167B18"/>
    <w:rsid w:val="00170FC5"/>
    <w:rsid w:val="0017170B"/>
    <w:rsid w:val="00171C11"/>
    <w:rsid w:val="001731F1"/>
    <w:rsid w:val="001739BD"/>
    <w:rsid w:val="00174FFE"/>
    <w:rsid w:val="00177166"/>
    <w:rsid w:val="00177230"/>
    <w:rsid w:val="001803A1"/>
    <w:rsid w:val="00180AA4"/>
    <w:rsid w:val="00180BD0"/>
    <w:rsid w:val="0018423D"/>
    <w:rsid w:val="00184D8A"/>
    <w:rsid w:val="001853EB"/>
    <w:rsid w:val="00185FC7"/>
    <w:rsid w:val="00186DE6"/>
    <w:rsid w:val="001876DF"/>
    <w:rsid w:val="00190A33"/>
    <w:rsid w:val="001919CD"/>
    <w:rsid w:val="00192DEF"/>
    <w:rsid w:val="00193829"/>
    <w:rsid w:val="00196802"/>
    <w:rsid w:val="001971E9"/>
    <w:rsid w:val="001A0E70"/>
    <w:rsid w:val="001A67F8"/>
    <w:rsid w:val="001B061B"/>
    <w:rsid w:val="001B0818"/>
    <w:rsid w:val="001B2BBD"/>
    <w:rsid w:val="001B4EA7"/>
    <w:rsid w:val="001B589F"/>
    <w:rsid w:val="001B6518"/>
    <w:rsid w:val="001B6F1E"/>
    <w:rsid w:val="001B78D7"/>
    <w:rsid w:val="001B7E35"/>
    <w:rsid w:val="001C1539"/>
    <w:rsid w:val="001C184C"/>
    <w:rsid w:val="001C4F58"/>
    <w:rsid w:val="001C6265"/>
    <w:rsid w:val="001C639D"/>
    <w:rsid w:val="001C66E0"/>
    <w:rsid w:val="001C69FE"/>
    <w:rsid w:val="001C7247"/>
    <w:rsid w:val="001C75C1"/>
    <w:rsid w:val="001D063A"/>
    <w:rsid w:val="001D2DD5"/>
    <w:rsid w:val="001D314A"/>
    <w:rsid w:val="001D32BA"/>
    <w:rsid w:val="001D42C7"/>
    <w:rsid w:val="001D4A5D"/>
    <w:rsid w:val="001D5232"/>
    <w:rsid w:val="001E0C10"/>
    <w:rsid w:val="001E10B9"/>
    <w:rsid w:val="001E5A8F"/>
    <w:rsid w:val="001E6483"/>
    <w:rsid w:val="001E773C"/>
    <w:rsid w:val="001F160B"/>
    <w:rsid w:val="001F1847"/>
    <w:rsid w:val="001F484D"/>
    <w:rsid w:val="001F4AD9"/>
    <w:rsid w:val="001F5E16"/>
    <w:rsid w:val="001F648E"/>
    <w:rsid w:val="001F65DE"/>
    <w:rsid w:val="001F7258"/>
    <w:rsid w:val="001F785E"/>
    <w:rsid w:val="0020132F"/>
    <w:rsid w:val="00202243"/>
    <w:rsid w:val="00204034"/>
    <w:rsid w:val="002050E4"/>
    <w:rsid w:val="00210533"/>
    <w:rsid w:val="00210DB2"/>
    <w:rsid w:val="00214EF9"/>
    <w:rsid w:val="0022068F"/>
    <w:rsid w:val="00221A09"/>
    <w:rsid w:val="00222DD1"/>
    <w:rsid w:val="0022557E"/>
    <w:rsid w:val="00225750"/>
    <w:rsid w:val="002306D9"/>
    <w:rsid w:val="00234178"/>
    <w:rsid w:val="002355BE"/>
    <w:rsid w:val="00235E13"/>
    <w:rsid w:val="00235F84"/>
    <w:rsid w:val="002377FB"/>
    <w:rsid w:val="00241386"/>
    <w:rsid w:val="00241392"/>
    <w:rsid w:val="002424F7"/>
    <w:rsid w:val="00242DC8"/>
    <w:rsid w:val="00243331"/>
    <w:rsid w:val="002433A6"/>
    <w:rsid w:val="00245C21"/>
    <w:rsid w:val="00247001"/>
    <w:rsid w:val="0025058D"/>
    <w:rsid w:val="00252A71"/>
    <w:rsid w:val="00254566"/>
    <w:rsid w:val="00255692"/>
    <w:rsid w:val="00260A91"/>
    <w:rsid w:val="00262709"/>
    <w:rsid w:val="0026502A"/>
    <w:rsid w:val="00271582"/>
    <w:rsid w:val="00271F54"/>
    <w:rsid w:val="00271FD4"/>
    <w:rsid w:val="00272322"/>
    <w:rsid w:val="002725AE"/>
    <w:rsid w:val="00276C9A"/>
    <w:rsid w:val="00277043"/>
    <w:rsid w:val="002770A5"/>
    <w:rsid w:val="002801B3"/>
    <w:rsid w:val="00285D8E"/>
    <w:rsid w:val="00286BAE"/>
    <w:rsid w:val="002874DB"/>
    <w:rsid w:val="002914C6"/>
    <w:rsid w:val="00292F86"/>
    <w:rsid w:val="00293614"/>
    <w:rsid w:val="002952B3"/>
    <w:rsid w:val="00296030"/>
    <w:rsid w:val="002966E9"/>
    <w:rsid w:val="00297878"/>
    <w:rsid w:val="002A0EA7"/>
    <w:rsid w:val="002A2943"/>
    <w:rsid w:val="002A3C27"/>
    <w:rsid w:val="002A46F5"/>
    <w:rsid w:val="002A4738"/>
    <w:rsid w:val="002A4DBF"/>
    <w:rsid w:val="002A797B"/>
    <w:rsid w:val="002B1D88"/>
    <w:rsid w:val="002B2C22"/>
    <w:rsid w:val="002B5031"/>
    <w:rsid w:val="002C185D"/>
    <w:rsid w:val="002C2179"/>
    <w:rsid w:val="002C2287"/>
    <w:rsid w:val="002C5070"/>
    <w:rsid w:val="002C6180"/>
    <w:rsid w:val="002C7478"/>
    <w:rsid w:val="002D0E79"/>
    <w:rsid w:val="002D2014"/>
    <w:rsid w:val="002D38DA"/>
    <w:rsid w:val="002D5028"/>
    <w:rsid w:val="002D5483"/>
    <w:rsid w:val="002D6AD0"/>
    <w:rsid w:val="002D7B70"/>
    <w:rsid w:val="002E05CC"/>
    <w:rsid w:val="002E0EAB"/>
    <w:rsid w:val="002E408A"/>
    <w:rsid w:val="002E7291"/>
    <w:rsid w:val="002F03AC"/>
    <w:rsid w:val="002F118A"/>
    <w:rsid w:val="002F1D2A"/>
    <w:rsid w:val="002F29B1"/>
    <w:rsid w:val="002F2B35"/>
    <w:rsid w:val="002F2B8A"/>
    <w:rsid w:val="002F35AD"/>
    <w:rsid w:val="002F3F6A"/>
    <w:rsid w:val="002F7D89"/>
    <w:rsid w:val="00302F5F"/>
    <w:rsid w:val="003033B4"/>
    <w:rsid w:val="00304256"/>
    <w:rsid w:val="00304DEB"/>
    <w:rsid w:val="00305E4E"/>
    <w:rsid w:val="00311305"/>
    <w:rsid w:val="00311D3E"/>
    <w:rsid w:val="003124BF"/>
    <w:rsid w:val="003127B9"/>
    <w:rsid w:val="00316D04"/>
    <w:rsid w:val="003209DF"/>
    <w:rsid w:val="00321C9F"/>
    <w:rsid w:val="003226B4"/>
    <w:rsid w:val="00323187"/>
    <w:rsid w:val="00323432"/>
    <w:rsid w:val="00323CA9"/>
    <w:rsid w:val="00323EAC"/>
    <w:rsid w:val="0032403D"/>
    <w:rsid w:val="00324E1D"/>
    <w:rsid w:val="00325CCC"/>
    <w:rsid w:val="0032707C"/>
    <w:rsid w:val="00327BCA"/>
    <w:rsid w:val="003300D1"/>
    <w:rsid w:val="003311D7"/>
    <w:rsid w:val="003319B7"/>
    <w:rsid w:val="00333F06"/>
    <w:rsid w:val="003356B0"/>
    <w:rsid w:val="00341943"/>
    <w:rsid w:val="00344478"/>
    <w:rsid w:val="003454D4"/>
    <w:rsid w:val="00346887"/>
    <w:rsid w:val="00346C67"/>
    <w:rsid w:val="00346DBF"/>
    <w:rsid w:val="00347D6E"/>
    <w:rsid w:val="003548BC"/>
    <w:rsid w:val="003577F7"/>
    <w:rsid w:val="00357937"/>
    <w:rsid w:val="0036023C"/>
    <w:rsid w:val="003610EE"/>
    <w:rsid w:val="00361BF4"/>
    <w:rsid w:val="0036275C"/>
    <w:rsid w:val="003632EE"/>
    <w:rsid w:val="00364AE8"/>
    <w:rsid w:val="00364F4C"/>
    <w:rsid w:val="00367CB1"/>
    <w:rsid w:val="00370CF7"/>
    <w:rsid w:val="00371624"/>
    <w:rsid w:val="00371E4D"/>
    <w:rsid w:val="0037240D"/>
    <w:rsid w:val="00373AAA"/>
    <w:rsid w:val="003747B9"/>
    <w:rsid w:val="00374882"/>
    <w:rsid w:val="00377DCD"/>
    <w:rsid w:val="00381635"/>
    <w:rsid w:val="00382217"/>
    <w:rsid w:val="00382B83"/>
    <w:rsid w:val="0038511D"/>
    <w:rsid w:val="003865F4"/>
    <w:rsid w:val="00387A3E"/>
    <w:rsid w:val="00387C7C"/>
    <w:rsid w:val="00390B3D"/>
    <w:rsid w:val="00392129"/>
    <w:rsid w:val="003921D6"/>
    <w:rsid w:val="00392B7C"/>
    <w:rsid w:val="00393D76"/>
    <w:rsid w:val="0039448C"/>
    <w:rsid w:val="0039657A"/>
    <w:rsid w:val="0039687D"/>
    <w:rsid w:val="00396A07"/>
    <w:rsid w:val="003A17DF"/>
    <w:rsid w:val="003A2289"/>
    <w:rsid w:val="003A2A20"/>
    <w:rsid w:val="003A310C"/>
    <w:rsid w:val="003A360E"/>
    <w:rsid w:val="003A3AA0"/>
    <w:rsid w:val="003A4250"/>
    <w:rsid w:val="003A4633"/>
    <w:rsid w:val="003A6991"/>
    <w:rsid w:val="003A6F0F"/>
    <w:rsid w:val="003A7826"/>
    <w:rsid w:val="003A7FDF"/>
    <w:rsid w:val="003B6B82"/>
    <w:rsid w:val="003C0958"/>
    <w:rsid w:val="003C1174"/>
    <w:rsid w:val="003C5F00"/>
    <w:rsid w:val="003C7598"/>
    <w:rsid w:val="003C7C6F"/>
    <w:rsid w:val="003D0201"/>
    <w:rsid w:val="003D25AF"/>
    <w:rsid w:val="003D4A85"/>
    <w:rsid w:val="003D54E1"/>
    <w:rsid w:val="003D7DD9"/>
    <w:rsid w:val="003E03F2"/>
    <w:rsid w:val="003E14CA"/>
    <w:rsid w:val="003E22A4"/>
    <w:rsid w:val="003E23B5"/>
    <w:rsid w:val="003E3A95"/>
    <w:rsid w:val="003E4CCE"/>
    <w:rsid w:val="003E6604"/>
    <w:rsid w:val="003E6E5F"/>
    <w:rsid w:val="003E6E76"/>
    <w:rsid w:val="003E79FD"/>
    <w:rsid w:val="003E7EDB"/>
    <w:rsid w:val="003F04EB"/>
    <w:rsid w:val="003F0805"/>
    <w:rsid w:val="003F42B9"/>
    <w:rsid w:val="003F496A"/>
    <w:rsid w:val="003F510C"/>
    <w:rsid w:val="003F5658"/>
    <w:rsid w:val="003F5CDD"/>
    <w:rsid w:val="003F6CF8"/>
    <w:rsid w:val="00402032"/>
    <w:rsid w:val="0040329B"/>
    <w:rsid w:val="00405BEE"/>
    <w:rsid w:val="004113D8"/>
    <w:rsid w:val="0041162A"/>
    <w:rsid w:val="00411B37"/>
    <w:rsid w:val="00412E67"/>
    <w:rsid w:val="00413761"/>
    <w:rsid w:val="0041452F"/>
    <w:rsid w:val="004215BA"/>
    <w:rsid w:val="00421A5F"/>
    <w:rsid w:val="00422FB6"/>
    <w:rsid w:val="004347E2"/>
    <w:rsid w:val="00436812"/>
    <w:rsid w:val="004402B3"/>
    <w:rsid w:val="0044149A"/>
    <w:rsid w:val="00441B45"/>
    <w:rsid w:val="00443D98"/>
    <w:rsid w:val="004440F8"/>
    <w:rsid w:val="00445B27"/>
    <w:rsid w:val="004466B0"/>
    <w:rsid w:val="00451CF9"/>
    <w:rsid w:val="004527BA"/>
    <w:rsid w:val="004531BE"/>
    <w:rsid w:val="0045381C"/>
    <w:rsid w:val="00457D38"/>
    <w:rsid w:val="004603AC"/>
    <w:rsid w:val="0046056E"/>
    <w:rsid w:val="004616F3"/>
    <w:rsid w:val="0046364C"/>
    <w:rsid w:val="00464AE7"/>
    <w:rsid w:val="00466ACC"/>
    <w:rsid w:val="00467F09"/>
    <w:rsid w:val="00470B65"/>
    <w:rsid w:val="00470E49"/>
    <w:rsid w:val="004727BD"/>
    <w:rsid w:val="004777F0"/>
    <w:rsid w:val="0048028C"/>
    <w:rsid w:val="0048351C"/>
    <w:rsid w:val="004835F9"/>
    <w:rsid w:val="004868C3"/>
    <w:rsid w:val="00486D84"/>
    <w:rsid w:val="00497943"/>
    <w:rsid w:val="004A1357"/>
    <w:rsid w:val="004A4180"/>
    <w:rsid w:val="004A77FB"/>
    <w:rsid w:val="004B0902"/>
    <w:rsid w:val="004B2F13"/>
    <w:rsid w:val="004B3876"/>
    <w:rsid w:val="004B5379"/>
    <w:rsid w:val="004B5AE0"/>
    <w:rsid w:val="004B75D6"/>
    <w:rsid w:val="004B765C"/>
    <w:rsid w:val="004C1198"/>
    <w:rsid w:val="004C15A7"/>
    <w:rsid w:val="004C28AD"/>
    <w:rsid w:val="004C2B14"/>
    <w:rsid w:val="004C30BD"/>
    <w:rsid w:val="004C33E0"/>
    <w:rsid w:val="004C4608"/>
    <w:rsid w:val="004C4EEF"/>
    <w:rsid w:val="004C75ED"/>
    <w:rsid w:val="004D0848"/>
    <w:rsid w:val="004D09F4"/>
    <w:rsid w:val="004D1547"/>
    <w:rsid w:val="004D3968"/>
    <w:rsid w:val="004D5160"/>
    <w:rsid w:val="004D5DE3"/>
    <w:rsid w:val="004D785C"/>
    <w:rsid w:val="004D7ADB"/>
    <w:rsid w:val="004E2B2B"/>
    <w:rsid w:val="004E53DD"/>
    <w:rsid w:val="004E7A36"/>
    <w:rsid w:val="004F3D20"/>
    <w:rsid w:val="004F6AD5"/>
    <w:rsid w:val="004F7CC7"/>
    <w:rsid w:val="005008F3"/>
    <w:rsid w:val="00500E46"/>
    <w:rsid w:val="0050223C"/>
    <w:rsid w:val="00502471"/>
    <w:rsid w:val="005029F5"/>
    <w:rsid w:val="00503235"/>
    <w:rsid w:val="00504A56"/>
    <w:rsid w:val="005113CE"/>
    <w:rsid w:val="0051336A"/>
    <w:rsid w:val="00513E66"/>
    <w:rsid w:val="0051534D"/>
    <w:rsid w:val="00515A52"/>
    <w:rsid w:val="00516092"/>
    <w:rsid w:val="00516B51"/>
    <w:rsid w:val="00517FB5"/>
    <w:rsid w:val="0052133C"/>
    <w:rsid w:val="0052206D"/>
    <w:rsid w:val="0052403C"/>
    <w:rsid w:val="005264DC"/>
    <w:rsid w:val="00527612"/>
    <w:rsid w:val="005304AE"/>
    <w:rsid w:val="005308EB"/>
    <w:rsid w:val="00536D12"/>
    <w:rsid w:val="00541232"/>
    <w:rsid w:val="00541B94"/>
    <w:rsid w:val="00542EC1"/>
    <w:rsid w:val="005449F1"/>
    <w:rsid w:val="005457DB"/>
    <w:rsid w:val="00546D46"/>
    <w:rsid w:val="00547656"/>
    <w:rsid w:val="00547C2A"/>
    <w:rsid w:val="00547CD3"/>
    <w:rsid w:val="00552ACB"/>
    <w:rsid w:val="00553E71"/>
    <w:rsid w:val="005542C1"/>
    <w:rsid w:val="0055753C"/>
    <w:rsid w:val="0055771B"/>
    <w:rsid w:val="0056559B"/>
    <w:rsid w:val="005660A3"/>
    <w:rsid w:val="005660BF"/>
    <w:rsid w:val="00566D50"/>
    <w:rsid w:val="005719F1"/>
    <w:rsid w:val="00571A55"/>
    <w:rsid w:val="00571DFD"/>
    <w:rsid w:val="005739E0"/>
    <w:rsid w:val="005742AD"/>
    <w:rsid w:val="005766D4"/>
    <w:rsid w:val="005770DC"/>
    <w:rsid w:val="00580F1A"/>
    <w:rsid w:val="00581259"/>
    <w:rsid w:val="00582699"/>
    <w:rsid w:val="00583C67"/>
    <w:rsid w:val="00584049"/>
    <w:rsid w:val="00584939"/>
    <w:rsid w:val="00585AA5"/>
    <w:rsid w:val="00586458"/>
    <w:rsid w:val="00586D30"/>
    <w:rsid w:val="00590430"/>
    <w:rsid w:val="0059085F"/>
    <w:rsid w:val="00592691"/>
    <w:rsid w:val="00592B64"/>
    <w:rsid w:val="00593533"/>
    <w:rsid w:val="005958A1"/>
    <w:rsid w:val="00595EA9"/>
    <w:rsid w:val="005A265B"/>
    <w:rsid w:val="005A6F3C"/>
    <w:rsid w:val="005A79BB"/>
    <w:rsid w:val="005B0ADF"/>
    <w:rsid w:val="005B4C89"/>
    <w:rsid w:val="005B5987"/>
    <w:rsid w:val="005B6F32"/>
    <w:rsid w:val="005C154F"/>
    <w:rsid w:val="005C1DC4"/>
    <w:rsid w:val="005C3853"/>
    <w:rsid w:val="005C48E1"/>
    <w:rsid w:val="005C5884"/>
    <w:rsid w:val="005D073C"/>
    <w:rsid w:val="005D132C"/>
    <w:rsid w:val="005D1D2E"/>
    <w:rsid w:val="005D2363"/>
    <w:rsid w:val="005D2D68"/>
    <w:rsid w:val="005D3D7E"/>
    <w:rsid w:val="005D5D33"/>
    <w:rsid w:val="005D71C4"/>
    <w:rsid w:val="005E0783"/>
    <w:rsid w:val="005E0828"/>
    <w:rsid w:val="005E0DF2"/>
    <w:rsid w:val="005E0E87"/>
    <w:rsid w:val="005E30BD"/>
    <w:rsid w:val="005E5ABD"/>
    <w:rsid w:val="005E6F8F"/>
    <w:rsid w:val="005E71B5"/>
    <w:rsid w:val="005F1093"/>
    <w:rsid w:val="005F3184"/>
    <w:rsid w:val="005F449E"/>
    <w:rsid w:val="005F4625"/>
    <w:rsid w:val="005F526F"/>
    <w:rsid w:val="005F6A98"/>
    <w:rsid w:val="00601006"/>
    <w:rsid w:val="0060252F"/>
    <w:rsid w:val="006040D6"/>
    <w:rsid w:val="00605858"/>
    <w:rsid w:val="0061296C"/>
    <w:rsid w:val="00613652"/>
    <w:rsid w:val="00613853"/>
    <w:rsid w:val="00613AAC"/>
    <w:rsid w:val="00615B5B"/>
    <w:rsid w:val="00615F3B"/>
    <w:rsid w:val="00616C66"/>
    <w:rsid w:val="00617C55"/>
    <w:rsid w:val="00620CEF"/>
    <w:rsid w:val="00622A1B"/>
    <w:rsid w:val="00623BE3"/>
    <w:rsid w:val="00625C3E"/>
    <w:rsid w:val="00626CD5"/>
    <w:rsid w:val="0063223B"/>
    <w:rsid w:val="0063323D"/>
    <w:rsid w:val="006334EA"/>
    <w:rsid w:val="00634BB6"/>
    <w:rsid w:val="00634EC6"/>
    <w:rsid w:val="00635A66"/>
    <w:rsid w:val="00637204"/>
    <w:rsid w:val="00641AFB"/>
    <w:rsid w:val="00644BE1"/>
    <w:rsid w:val="00645378"/>
    <w:rsid w:val="00645597"/>
    <w:rsid w:val="006469F2"/>
    <w:rsid w:val="00646CE5"/>
    <w:rsid w:val="00654412"/>
    <w:rsid w:val="0065450A"/>
    <w:rsid w:val="00656466"/>
    <w:rsid w:val="0065684C"/>
    <w:rsid w:val="00656904"/>
    <w:rsid w:val="006570D3"/>
    <w:rsid w:val="006573E7"/>
    <w:rsid w:val="00660201"/>
    <w:rsid w:val="00660224"/>
    <w:rsid w:val="0066328C"/>
    <w:rsid w:val="00664F99"/>
    <w:rsid w:val="00666560"/>
    <w:rsid w:val="00666840"/>
    <w:rsid w:val="006676DD"/>
    <w:rsid w:val="00667B7B"/>
    <w:rsid w:val="00670141"/>
    <w:rsid w:val="00673EE0"/>
    <w:rsid w:val="006768AE"/>
    <w:rsid w:val="00677370"/>
    <w:rsid w:val="00680C4E"/>
    <w:rsid w:val="00680DFD"/>
    <w:rsid w:val="006825AE"/>
    <w:rsid w:val="00682DAF"/>
    <w:rsid w:val="00684281"/>
    <w:rsid w:val="00686E60"/>
    <w:rsid w:val="006875A2"/>
    <w:rsid w:val="006909A1"/>
    <w:rsid w:val="00691E41"/>
    <w:rsid w:val="00692B64"/>
    <w:rsid w:val="0069549F"/>
    <w:rsid w:val="00696902"/>
    <w:rsid w:val="00697E86"/>
    <w:rsid w:val="006A230C"/>
    <w:rsid w:val="006A4EDC"/>
    <w:rsid w:val="006A7FD1"/>
    <w:rsid w:val="006B25CF"/>
    <w:rsid w:val="006B3566"/>
    <w:rsid w:val="006B6D4B"/>
    <w:rsid w:val="006B745F"/>
    <w:rsid w:val="006C1C84"/>
    <w:rsid w:val="006C287E"/>
    <w:rsid w:val="006C3E7D"/>
    <w:rsid w:val="006C6C7A"/>
    <w:rsid w:val="006C707F"/>
    <w:rsid w:val="006C73DD"/>
    <w:rsid w:val="006C78A0"/>
    <w:rsid w:val="006D049F"/>
    <w:rsid w:val="006D0C31"/>
    <w:rsid w:val="006D2D5C"/>
    <w:rsid w:val="006D2FB5"/>
    <w:rsid w:val="006D50A2"/>
    <w:rsid w:val="006D6A26"/>
    <w:rsid w:val="006E0532"/>
    <w:rsid w:val="006E05EE"/>
    <w:rsid w:val="006E0BD2"/>
    <w:rsid w:val="006E1DEC"/>
    <w:rsid w:val="006E2549"/>
    <w:rsid w:val="006E2C49"/>
    <w:rsid w:val="006E2DB9"/>
    <w:rsid w:val="006E3479"/>
    <w:rsid w:val="006E3B88"/>
    <w:rsid w:val="006E4C0E"/>
    <w:rsid w:val="006E532F"/>
    <w:rsid w:val="006E5DED"/>
    <w:rsid w:val="006F2E7D"/>
    <w:rsid w:val="006F6EAE"/>
    <w:rsid w:val="006F7270"/>
    <w:rsid w:val="006F7DCD"/>
    <w:rsid w:val="00701FB1"/>
    <w:rsid w:val="0070204E"/>
    <w:rsid w:val="00702CCA"/>
    <w:rsid w:val="007040BA"/>
    <w:rsid w:val="007041A1"/>
    <w:rsid w:val="00706B35"/>
    <w:rsid w:val="00706C0E"/>
    <w:rsid w:val="00707184"/>
    <w:rsid w:val="00707A62"/>
    <w:rsid w:val="00710340"/>
    <w:rsid w:val="0071125F"/>
    <w:rsid w:val="00715D30"/>
    <w:rsid w:val="0071613D"/>
    <w:rsid w:val="00720A6B"/>
    <w:rsid w:val="00721545"/>
    <w:rsid w:val="007218B0"/>
    <w:rsid w:val="00724276"/>
    <w:rsid w:val="00727103"/>
    <w:rsid w:val="00727372"/>
    <w:rsid w:val="0073087E"/>
    <w:rsid w:val="00734E36"/>
    <w:rsid w:val="007375BA"/>
    <w:rsid w:val="007411F7"/>
    <w:rsid w:val="00741508"/>
    <w:rsid w:val="00742333"/>
    <w:rsid w:val="0074355C"/>
    <w:rsid w:val="0074512C"/>
    <w:rsid w:val="00745440"/>
    <w:rsid w:val="00746B6B"/>
    <w:rsid w:val="007470DA"/>
    <w:rsid w:val="00751991"/>
    <w:rsid w:val="00751CF6"/>
    <w:rsid w:val="00752525"/>
    <w:rsid w:val="00752CF3"/>
    <w:rsid w:val="00753526"/>
    <w:rsid w:val="007536F8"/>
    <w:rsid w:val="00754C72"/>
    <w:rsid w:val="00761701"/>
    <w:rsid w:val="007630C8"/>
    <w:rsid w:val="00764576"/>
    <w:rsid w:val="0076503A"/>
    <w:rsid w:val="00765832"/>
    <w:rsid w:val="00771BAA"/>
    <w:rsid w:val="00772FAA"/>
    <w:rsid w:val="00773620"/>
    <w:rsid w:val="0077532F"/>
    <w:rsid w:val="0078108D"/>
    <w:rsid w:val="00783419"/>
    <w:rsid w:val="00786A1C"/>
    <w:rsid w:val="00790756"/>
    <w:rsid w:val="00792F9A"/>
    <w:rsid w:val="00793D8D"/>
    <w:rsid w:val="00793F11"/>
    <w:rsid w:val="00795CE5"/>
    <w:rsid w:val="007A27CB"/>
    <w:rsid w:val="007A59FB"/>
    <w:rsid w:val="007A731B"/>
    <w:rsid w:val="007B02F9"/>
    <w:rsid w:val="007B10F0"/>
    <w:rsid w:val="007B2468"/>
    <w:rsid w:val="007B7FFC"/>
    <w:rsid w:val="007C1231"/>
    <w:rsid w:val="007C1A6E"/>
    <w:rsid w:val="007C1C95"/>
    <w:rsid w:val="007C309A"/>
    <w:rsid w:val="007C3358"/>
    <w:rsid w:val="007C47F9"/>
    <w:rsid w:val="007C4D35"/>
    <w:rsid w:val="007C4EC3"/>
    <w:rsid w:val="007C4EF2"/>
    <w:rsid w:val="007C5E46"/>
    <w:rsid w:val="007D0148"/>
    <w:rsid w:val="007D50FA"/>
    <w:rsid w:val="007D5212"/>
    <w:rsid w:val="007D567B"/>
    <w:rsid w:val="007D5EB4"/>
    <w:rsid w:val="007D6B2D"/>
    <w:rsid w:val="007E17DB"/>
    <w:rsid w:val="007E2741"/>
    <w:rsid w:val="007E374B"/>
    <w:rsid w:val="007E75D6"/>
    <w:rsid w:val="007E7631"/>
    <w:rsid w:val="007F1E6B"/>
    <w:rsid w:val="007F23D5"/>
    <w:rsid w:val="007F2828"/>
    <w:rsid w:val="007F3EB1"/>
    <w:rsid w:val="007F420D"/>
    <w:rsid w:val="007F5443"/>
    <w:rsid w:val="007F6761"/>
    <w:rsid w:val="007F6F39"/>
    <w:rsid w:val="008043D9"/>
    <w:rsid w:val="008057BA"/>
    <w:rsid w:val="00806DC0"/>
    <w:rsid w:val="00812621"/>
    <w:rsid w:val="00813CB1"/>
    <w:rsid w:val="00814567"/>
    <w:rsid w:val="00814AD1"/>
    <w:rsid w:val="00815976"/>
    <w:rsid w:val="00815B92"/>
    <w:rsid w:val="00816157"/>
    <w:rsid w:val="008238FA"/>
    <w:rsid w:val="00825E9D"/>
    <w:rsid w:val="00830630"/>
    <w:rsid w:val="00830949"/>
    <w:rsid w:val="0083252D"/>
    <w:rsid w:val="00832CCD"/>
    <w:rsid w:val="00833300"/>
    <w:rsid w:val="008334D2"/>
    <w:rsid w:val="00834658"/>
    <w:rsid w:val="0083605B"/>
    <w:rsid w:val="008371FA"/>
    <w:rsid w:val="00841425"/>
    <w:rsid w:val="00842E00"/>
    <w:rsid w:val="00843F64"/>
    <w:rsid w:val="008500DD"/>
    <w:rsid w:val="008509D1"/>
    <w:rsid w:val="00850AB4"/>
    <w:rsid w:val="00850F27"/>
    <w:rsid w:val="00851109"/>
    <w:rsid w:val="0085153A"/>
    <w:rsid w:val="0085303D"/>
    <w:rsid w:val="008533C0"/>
    <w:rsid w:val="00857C94"/>
    <w:rsid w:val="00861762"/>
    <w:rsid w:val="0086407F"/>
    <w:rsid w:val="008650D5"/>
    <w:rsid w:val="00866162"/>
    <w:rsid w:val="00866535"/>
    <w:rsid w:val="00871108"/>
    <w:rsid w:val="00873DF7"/>
    <w:rsid w:val="00874B79"/>
    <w:rsid w:val="00876277"/>
    <w:rsid w:val="00881948"/>
    <w:rsid w:val="00881B9E"/>
    <w:rsid w:val="00881CF2"/>
    <w:rsid w:val="008826FB"/>
    <w:rsid w:val="00883206"/>
    <w:rsid w:val="00883565"/>
    <w:rsid w:val="00883AEA"/>
    <w:rsid w:val="008856B5"/>
    <w:rsid w:val="00886EE9"/>
    <w:rsid w:val="0089284D"/>
    <w:rsid w:val="00892B68"/>
    <w:rsid w:val="00893891"/>
    <w:rsid w:val="008959C4"/>
    <w:rsid w:val="00896625"/>
    <w:rsid w:val="00896B3B"/>
    <w:rsid w:val="00897A89"/>
    <w:rsid w:val="008A2FDB"/>
    <w:rsid w:val="008A40EE"/>
    <w:rsid w:val="008A4B71"/>
    <w:rsid w:val="008A5231"/>
    <w:rsid w:val="008A55A8"/>
    <w:rsid w:val="008A5A2E"/>
    <w:rsid w:val="008A7D37"/>
    <w:rsid w:val="008B0274"/>
    <w:rsid w:val="008B1B56"/>
    <w:rsid w:val="008B241B"/>
    <w:rsid w:val="008B4617"/>
    <w:rsid w:val="008B580A"/>
    <w:rsid w:val="008C0877"/>
    <w:rsid w:val="008C1C39"/>
    <w:rsid w:val="008C4D61"/>
    <w:rsid w:val="008C7330"/>
    <w:rsid w:val="008D2B65"/>
    <w:rsid w:val="008D2F09"/>
    <w:rsid w:val="008D3767"/>
    <w:rsid w:val="008D4F97"/>
    <w:rsid w:val="008D634A"/>
    <w:rsid w:val="008E10D8"/>
    <w:rsid w:val="008E1161"/>
    <w:rsid w:val="008E1693"/>
    <w:rsid w:val="008E1A75"/>
    <w:rsid w:val="008E1D28"/>
    <w:rsid w:val="008E21C6"/>
    <w:rsid w:val="008E54BF"/>
    <w:rsid w:val="008E76A4"/>
    <w:rsid w:val="008E7824"/>
    <w:rsid w:val="008F1BE3"/>
    <w:rsid w:val="008F47A3"/>
    <w:rsid w:val="008F4997"/>
    <w:rsid w:val="008F5AE7"/>
    <w:rsid w:val="008F63FB"/>
    <w:rsid w:val="008F769A"/>
    <w:rsid w:val="008F7A9B"/>
    <w:rsid w:val="009034FE"/>
    <w:rsid w:val="00904924"/>
    <w:rsid w:val="0090603A"/>
    <w:rsid w:val="009060D7"/>
    <w:rsid w:val="00906B19"/>
    <w:rsid w:val="00906BDC"/>
    <w:rsid w:val="009072DB"/>
    <w:rsid w:val="009101B9"/>
    <w:rsid w:val="00911428"/>
    <w:rsid w:val="00911AA5"/>
    <w:rsid w:val="0091409E"/>
    <w:rsid w:val="00915559"/>
    <w:rsid w:val="009159B1"/>
    <w:rsid w:val="00916EF0"/>
    <w:rsid w:val="00921EEC"/>
    <w:rsid w:val="00921F3E"/>
    <w:rsid w:val="00927C4C"/>
    <w:rsid w:val="00934E37"/>
    <w:rsid w:val="009356D8"/>
    <w:rsid w:val="009358F4"/>
    <w:rsid w:val="0094047D"/>
    <w:rsid w:val="009409A6"/>
    <w:rsid w:val="00940B00"/>
    <w:rsid w:val="009415A9"/>
    <w:rsid w:val="00942391"/>
    <w:rsid w:val="00943FD6"/>
    <w:rsid w:val="00945140"/>
    <w:rsid w:val="0094538E"/>
    <w:rsid w:val="00946405"/>
    <w:rsid w:val="00950DE2"/>
    <w:rsid w:val="009517E6"/>
    <w:rsid w:val="0095225D"/>
    <w:rsid w:val="0095391B"/>
    <w:rsid w:val="00955EFD"/>
    <w:rsid w:val="0095626B"/>
    <w:rsid w:val="0095644A"/>
    <w:rsid w:val="00956FAD"/>
    <w:rsid w:val="00957C6C"/>
    <w:rsid w:val="009612A7"/>
    <w:rsid w:val="009644D2"/>
    <w:rsid w:val="009651AA"/>
    <w:rsid w:val="00965DE2"/>
    <w:rsid w:val="009670B2"/>
    <w:rsid w:val="00972ADE"/>
    <w:rsid w:val="00973AF2"/>
    <w:rsid w:val="0097709F"/>
    <w:rsid w:val="00977A40"/>
    <w:rsid w:val="009808A3"/>
    <w:rsid w:val="00983CFB"/>
    <w:rsid w:val="0098438D"/>
    <w:rsid w:val="009848C5"/>
    <w:rsid w:val="00985B07"/>
    <w:rsid w:val="009877B9"/>
    <w:rsid w:val="00987A01"/>
    <w:rsid w:val="009942C0"/>
    <w:rsid w:val="009962FA"/>
    <w:rsid w:val="0099687F"/>
    <w:rsid w:val="00996DBB"/>
    <w:rsid w:val="009A3251"/>
    <w:rsid w:val="009A3C2E"/>
    <w:rsid w:val="009A4F50"/>
    <w:rsid w:val="009A6229"/>
    <w:rsid w:val="009B08D1"/>
    <w:rsid w:val="009B0DB7"/>
    <w:rsid w:val="009B1D31"/>
    <w:rsid w:val="009B2683"/>
    <w:rsid w:val="009B2AF2"/>
    <w:rsid w:val="009B2E82"/>
    <w:rsid w:val="009B48F8"/>
    <w:rsid w:val="009B4B9E"/>
    <w:rsid w:val="009B4FA0"/>
    <w:rsid w:val="009B6BD9"/>
    <w:rsid w:val="009B6DF8"/>
    <w:rsid w:val="009C0588"/>
    <w:rsid w:val="009C1E7D"/>
    <w:rsid w:val="009C40C0"/>
    <w:rsid w:val="009C543C"/>
    <w:rsid w:val="009C58F2"/>
    <w:rsid w:val="009C5A79"/>
    <w:rsid w:val="009C5DBC"/>
    <w:rsid w:val="009C70E3"/>
    <w:rsid w:val="009D3975"/>
    <w:rsid w:val="009D6140"/>
    <w:rsid w:val="009D7DAF"/>
    <w:rsid w:val="009E562C"/>
    <w:rsid w:val="009F1DF2"/>
    <w:rsid w:val="009F2577"/>
    <w:rsid w:val="009F292F"/>
    <w:rsid w:val="009F4EAC"/>
    <w:rsid w:val="009F5BD5"/>
    <w:rsid w:val="009F7756"/>
    <w:rsid w:val="00A0176A"/>
    <w:rsid w:val="00A05059"/>
    <w:rsid w:val="00A0534B"/>
    <w:rsid w:val="00A07EED"/>
    <w:rsid w:val="00A119D7"/>
    <w:rsid w:val="00A13A42"/>
    <w:rsid w:val="00A14D5B"/>
    <w:rsid w:val="00A1593D"/>
    <w:rsid w:val="00A1598E"/>
    <w:rsid w:val="00A16C98"/>
    <w:rsid w:val="00A16E29"/>
    <w:rsid w:val="00A171E0"/>
    <w:rsid w:val="00A17D5F"/>
    <w:rsid w:val="00A233AF"/>
    <w:rsid w:val="00A23CCB"/>
    <w:rsid w:val="00A25689"/>
    <w:rsid w:val="00A26034"/>
    <w:rsid w:val="00A329E4"/>
    <w:rsid w:val="00A32F78"/>
    <w:rsid w:val="00A33966"/>
    <w:rsid w:val="00A362B5"/>
    <w:rsid w:val="00A367FB"/>
    <w:rsid w:val="00A41065"/>
    <w:rsid w:val="00A43B79"/>
    <w:rsid w:val="00A44F83"/>
    <w:rsid w:val="00A505B1"/>
    <w:rsid w:val="00A52499"/>
    <w:rsid w:val="00A536A7"/>
    <w:rsid w:val="00A562FC"/>
    <w:rsid w:val="00A57B40"/>
    <w:rsid w:val="00A634B9"/>
    <w:rsid w:val="00A63A3D"/>
    <w:rsid w:val="00A66385"/>
    <w:rsid w:val="00A67C81"/>
    <w:rsid w:val="00A7289A"/>
    <w:rsid w:val="00A73B55"/>
    <w:rsid w:val="00A73DC5"/>
    <w:rsid w:val="00A75809"/>
    <w:rsid w:val="00A75BD9"/>
    <w:rsid w:val="00A76731"/>
    <w:rsid w:val="00A81157"/>
    <w:rsid w:val="00A82FAA"/>
    <w:rsid w:val="00A84B78"/>
    <w:rsid w:val="00A8588B"/>
    <w:rsid w:val="00A86DE4"/>
    <w:rsid w:val="00A941E3"/>
    <w:rsid w:val="00A96A46"/>
    <w:rsid w:val="00A975D4"/>
    <w:rsid w:val="00A97E62"/>
    <w:rsid w:val="00AA0EB0"/>
    <w:rsid w:val="00AA10A0"/>
    <w:rsid w:val="00AA14AC"/>
    <w:rsid w:val="00AA1B0D"/>
    <w:rsid w:val="00AA37E3"/>
    <w:rsid w:val="00AA3D2C"/>
    <w:rsid w:val="00AB396A"/>
    <w:rsid w:val="00AB4D27"/>
    <w:rsid w:val="00AB505C"/>
    <w:rsid w:val="00AB623C"/>
    <w:rsid w:val="00AC382C"/>
    <w:rsid w:val="00AC4A0A"/>
    <w:rsid w:val="00AD183B"/>
    <w:rsid w:val="00AD1CAC"/>
    <w:rsid w:val="00AD247E"/>
    <w:rsid w:val="00AD604F"/>
    <w:rsid w:val="00AD6986"/>
    <w:rsid w:val="00AD72D3"/>
    <w:rsid w:val="00AD7858"/>
    <w:rsid w:val="00AE0F06"/>
    <w:rsid w:val="00AE2067"/>
    <w:rsid w:val="00AE5780"/>
    <w:rsid w:val="00AE6B40"/>
    <w:rsid w:val="00AF05A3"/>
    <w:rsid w:val="00AF10A0"/>
    <w:rsid w:val="00AF28F6"/>
    <w:rsid w:val="00AF296A"/>
    <w:rsid w:val="00AF5D65"/>
    <w:rsid w:val="00AF60B2"/>
    <w:rsid w:val="00AF66AE"/>
    <w:rsid w:val="00B0010B"/>
    <w:rsid w:val="00B00EF3"/>
    <w:rsid w:val="00B019A7"/>
    <w:rsid w:val="00B02147"/>
    <w:rsid w:val="00B038C6"/>
    <w:rsid w:val="00B10D43"/>
    <w:rsid w:val="00B148E7"/>
    <w:rsid w:val="00B17C92"/>
    <w:rsid w:val="00B21769"/>
    <w:rsid w:val="00B23489"/>
    <w:rsid w:val="00B23F54"/>
    <w:rsid w:val="00B24A6B"/>
    <w:rsid w:val="00B268CB"/>
    <w:rsid w:val="00B27678"/>
    <w:rsid w:val="00B27BE9"/>
    <w:rsid w:val="00B31DD0"/>
    <w:rsid w:val="00B32DF9"/>
    <w:rsid w:val="00B33356"/>
    <w:rsid w:val="00B3335D"/>
    <w:rsid w:val="00B3404F"/>
    <w:rsid w:val="00B34FA3"/>
    <w:rsid w:val="00B36F3C"/>
    <w:rsid w:val="00B37EEF"/>
    <w:rsid w:val="00B47C4A"/>
    <w:rsid w:val="00B54D58"/>
    <w:rsid w:val="00B551AE"/>
    <w:rsid w:val="00B571DA"/>
    <w:rsid w:val="00B5736F"/>
    <w:rsid w:val="00B573B0"/>
    <w:rsid w:val="00B6057E"/>
    <w:rsid w:val="00B609A2"/>
    <w:rsid w:val="00B61534"/>
    <w:rsid w:val="00B618AB"/>
    <w:rsid w:val="00B63929"/>
    <w:rsid w:val="00B6516D"/>
    <w:rsid w:val="00B664A0"/>
    <w:rsid w:val="00B66F8F"/>
    <w:rsid w:val="00B67B34"/>
    <w:rsid w:val="00B73041"/>
    <w:rsid w:val="00B73883"/>
    <w:rsid w:val="00B74C93"/>
    <w:rsid w:val="00B75869"/>
    <w:rsid w:val="00B801F8"/>
    <w:rsid w:val="00B8186F"/>
    <w:rsid w:val="00B81B9A"/>
    <w:rsid w:val="00B83546"/>
    <w:rsid w:val="00B851C8"/>
    <w:rsid w:val="00B85CCC"/>
    <w:rsid w:val="00B87186"/>
    <w:rsid w:val="00B91276"/>
    <w:rsid w:val="00B92191"/>
    <w:rsid w:val="00B92841"/>
    <w:rsid w:val="00B93D34"/>
    <w:rsid w:val="00B952F2"/>
    <w:rsid w:val="00B95665"/>
    <w:rsid w:val="00B9698E"/>
    <w:rsid w:val="00BA1A5F"/>
    <w:rsid w:val="00BA2512"/>
    <w:rsid w:val="00BA3479"/>
    <w:rsid w:val="00BA41A9"/>
    <w:rsid w:val="00BA41F2"/>
    <w:rsid w:val="00BA6C19"/>
    <w:rsid w:val="00BB1C55"/>
    <w:rsid w:val="00BB6453"/>
    <w:rsid w:val="00BB6E1D"/>
    <w:rsid w:val="00BC110D"/>
    <w:rsid w:val="00BC251B"/>
    <w:rsid w:val="00BC2AF6"/>
    <w:rsid w:val="00BC2C01"/>
    <w:rsid w:val="00BC2E14"/>
    <w:rsid w:val="00BC3375"/>
    <w:rsid w:val="00BC52C2"/>
    <w:rsid w:val="00BC6E0D"/>
    <w:rsid w:val="00BC7707"/>
    <w:rsid w:val="00BC7A6F"/>
    <w:rsid w:val="00BC7CD0"/>
    <w:rsid w:val="00BD050D"/>
    <w:rsid w:val="00BD5075"/>
    <w:rsid w:val="00BD5442"/>
    <w:rsid w:val="00BE0BD9"/>
    <w:rsid w:val="00BE13EA"/>
    <w:rsid w:val="00BE2B7A"/>
    <w:rsid w:val="00BE3FBF"/>
    <w:rsid w:val="00BE4EF1"/>
    <w:rsid w:val="00BE50A2"/>
    <w:rsid w:val="00BE5E34"/>
    <w:rsid w:val="00BE7A57"/>
    <w:rsid w:val="00BF1D55"/>
    <w:rsid w:val="00BF26EF"/>
    <w:rsid w:val="00BF40B6"/>
    <w:rsid w:val="00BF5CB3"/>
    <w:rsid w:val="00C00876"/>
    <w:rsid w:val="00C00A90"/>
    <w:rsid w:val="00C0111D"/>
    <w:rsid w:val="00C0264D"/>
    <w:rsid w:val="00C026A6"/>
    <w:rsid w:val="00C03E56"/>
    <w:rsid w:val="00C04878"/>
    <w:rsid w:val="00C061A8"/>
    <w:rsid w:val="00C073A5"/>
    <w:rsid w:val="00C1174D"/>
    <w:rsid w:val="00C14798"/>
    <w:rsid w:val="00C15F1D"/>
    <w:rsid w:val="00C17585"/>
    <w:rsid w:val="00C21B41"/>
    <w:rsid w:val="00C22E88"/>
    <w:rsid w:val="00C23EAD"/>
    <w:rsid w:val="00C25DEA"/>
    <w:rsid w:val="00C27AA3"/>
    <w:rsid w:val="00C27DB3"/>
    <w:rsid w:val="00C27EDF"/>
    <w:rsid w:val="00C32BB9"/>
    <w:rsid w:val="00C40B91"/>
    <w:rsid w:val="00C418E6"/>
    <w:rsid w:val="00C42602"/>
    <w:rsid w:val="00C4309F"/>
    <w:rsid w:val="00C4621D"/>
    <w:rsid w:val="00C50502"/>
    <w:rsid w:val="00C51419"/>
    <w:rsid w:val="00C516C3"/>
    <w:rsid w:val="00C51975"/>
    <w:rsid w:val="00C54062"/>
    <w:rsid w:val="00C54D22"/>
    <w:rsid w:val="00C5591B"/>
    <w:rsid w:val="00C563C5"/>
    <w:rsid w:val="00C56834"/>
    <w:rsid w:val="00C568A4"/>
    <w:rsid w:val="00C56E80"/>
    <w:rsid w:val="00C572D0"/>
    <w:rsid w:val="00C5746A"/>
    <w:rsid w:val="00C57FDE"/>
    <w:rsid w:val="00C6001B"/>
    <w:rsid w:val="00C6026C"/>
    <w:rsid w:val="00C6417F"/>
    <w:rsid w:val="00C64FE0"/>
    <w:rsid w:val="00C66262"/>
    <w:rsid w:val="00C7211A"/>
    <w:rsid w:val="00C72F79"/>
    <w:rsid w:val="00C73860"/>
    <w:rsid w:val="00C73CC4"/>
    <w:rsid w:val="00C7607B"/>
    <w:rsid w:val="00C76FD8"/>
    <w:rsid w:val="00C7736D"/>
    <w:rsid w:val="00C82441"/>
    <w:rsid w:val="00C838F8"/>
    <w:rsid w:val="00C8419B"/>
    <w:rsid w:val="00C8569E"/>
    <w:rsid w:val="00C92A8F"/>
    <w:rsid w:val="00C93063"/>
    <w:rsid w:val="00C93544"/>
    <w:rsid w:val="00C93E90"/>
    <w:rsid w:val="00C95394"/>
    <w:rsid w:val="00CA0970"/>
    <w:rsid w:val="00CA12C4"/>
    <w:rsid w:val="00CA1A9E"/>
    <w:rsid w:val="00CA29AF"/>
    <w:rsid w:val="00CA5D57"/>
    <w:rsid w:val="00CB45DA"/>
    <w:rsid w:val="00CB6086"/>
    <w:rsid w:val="00CB63AE"/>
    <w:rsid w:val="00CB6C43"/>
    <w:rsid w:val="00CB7DEF"/>
    <w:rsid w:val="00CC0CF5"/>
    <w:rsid w:val="00CC2A80"/>
    <w:rsid w:val="00CC2F4C"/>
    <w:rsid w:val="00CC483A"/>
    <w:rsid w:val="00CC6C62"/>
    <w:rsid w:val="00CC72A7"/>
    <w:rsid w:val="00CD34E4"/>
    <w:rsid w:val="00CD3A84"/>
    <w:rsid w:val="00CD4CC1"/>
    <w:rsid w:val="00CD7C4A"/>
    <w:rsid w:val="00CD7E98"/>
    <w:rsid w:val="00CE0ED5"/>
    <w:rsid w:val="00CE336C"/>
    <w:rsid w:val="00CF00C5"/>
    <w:rsid w:val="00CF014A"/>
    <w:rsid w:val="00CF1228"/>
    <w:rsid w:val="00CF1F2F"/>
    <w:rsid w:val="00CF2834"/>
    <w:rsid w:val="00CF38C8"/>
    <w:rsid w:val="00CF3C57"/>
    <w:rsid w:val="00CF7D94"/>
    <w:rsid w:val="00D03B7A"/>
    <w:rsid w:val="00D05C67"/>
    <w:rsid w:val="00D06DD4"/>
    <w:rsid w:val="00D11AB0"/>
    <w:rsid w:val="00D1246C"/>
    <w:rsid w:val="00D1567E"/>
    <w:rsid w:val="00D157A5"/>
    <w:rsid w:val="00D16447"/>
    <w:rsid w:val="00D16A89"/>
    <w:rsid w:val="00D17941"/>
    <w:rsid w:val="00D2179D"/>
    <w:rsid w:val="00D21ECB"/>
    <w:rsid w:val="00D22F25"/>
    <w:rsid w:val="00D269E2"/>
    <w:rsid w:val="00D2751C"/>
    <w:rsid w:val="00D2765D"/>
    <w:rsid w:val="00D309ED"/>
    <w:rsid w:val="00D3379F"/>
    <w:rsid w:val="00D33CFA"/>
    <w:rsid w:val="00D344D3"/>
    <w:rsid w:val="00D35190"/>
    <w:rsid w:val="00D35284"/>
    <w:rsid w:val="00D40E9F"/>
    <w:rsid w:val="00D4531D"/>
    <w:rsid w:val="00D46288"/>
    <w:rsid w:val="00D47DC4"/>
    <w:rsid w:val="00D5086D"/>
    <w:rsid w:val="00D50A31"/>
    <w:rsid w:val="00D50AA3"/>
    <w:rsid w:val="00D515AB"/>
    <w:rsid w:val="00D550CE"/>
    <w:rsid w:val="00D55DE4"/>
    <w:rsid w:val="00D56421"/>
    <w:rsid w:val="00D564C1"/>
    <w:rsid w:val="00D603BE"/>
    <w:rsid w:val="00D60F31"/>
    <w:rsid w:val="00D6771C"/>
    <w:rsid w:val="00D70605"/>
    <w:rsid w:val="00D71786"/>
    <w:rsid w:val="00D7201C"/>
    <w:rsid w:val="00D744D5"/>
    <w:rsid w:val="00D7584F"/>
    <w:rsid w:val="00D76485"/>
    <w:rsid w:val="00D80034"/>
    <w:rsid w:val="00D80345"/>
    <w:rsid w:val="00D80740"/>
    <w:rsid w:val="00D829C5"/>
    <w:rsid w:val="00D87731"/>
    <w:rsid w:val="00D906D0"/>
    <w:rsid w:val="00D907F1"/>
    <w:rsid w:val="00D90E60"/>
    <w:rsid w:val="00D91B78"/>
    <w:rsid w:val="00D91E67"/>
    <w:rsid w:val="00D927EE"/>
    <w:rsid w:val="00D94CA9"/>
    <w:rsid w:val="00D958A5"/>
    <w:rsid w:val="00D97172"/>
    <w:rsid w:val="00DA077D"/>
    <w:rsid w:val="00DA2861"/>
    <w:rsid w:val="00DA2D11"/>
    <w:rsid w:val="00DA3107"/>
    <w:rsid w:val="00DA62C8"/>
    <w:rsid w:val="00DA71B4"/>
    <w:rsid w:val="00DA7FEB"/>
    <w:rsid w:val="00DB161A"/>
    <w:rsid w:val="00DB38B4"/>
    <w:rsid w:val="00DB443B"/>
    <w:rsid w:val="00DB508D"/>
    <w:rsid w:val="00DB7F6E"/>
    <w:rsid w:val="00DC23B0"/>
    <w:rsid w:val="00DC2EE7"/>
    <w:rsid w:val="00DC5550"/>
    <w:rsid w:val="00DC5B20"/>
    <w:rsid w:val="00DC5BF2"/>
    <w:rsid w:val="00DD0CBC"/>
    <w:rsid w:val="00DD25D1"/>
    <w:rsid w:val="00DD2CC1"/>
    <w:rsid w:val="00DD5B01"/>
    <w:rsid w:val="00DD7A54"/>
    <w:rsid w:val="00DE1D85"/>
    <w:rsid w:val="00DE30C1"/>
    <w:rsid w:val="00DE310D"/>
    <w:rsid w:val="00DE4B02"/>
    <w:rsid w:val="00DF2679"/>
    <w:rsid w:val="00DF27CF"/>
    <w:rsid w:val="00DF2D19"/>
    <w:rsid w:val="00DF2E2B"/>
    <w:rsid w:val="00DF5412"/>
    <w:rsid w:val="00DF589B"/>
    <w:rsid w:val="00DF59AD"/>
    <w:rsid w:val="00DF62B1"/>
    <w:rsid w:val="00E003FA"/>
    <w:rsid w:val="00E0043B"/>
    <w:rsid w:val="00E011EC"/>
    <w:rsid w:val="00E01EE8"/>
    <w:rsid w:val="00E05B18"/>
    <w:rsid w:val="00E0670A"/>
    <w:rsid w:val="00E06E95"/>
    <w:rsid w:val="00E078D0"/>
    <w:rsid w:val="00E12F8F"/>
    <w:rsid w:val="00E13E6C"/>
    <w:rsid w:val="00E158FD"/>
    <w:rsid w:val="00E16CA0"/>
    <w:rsid w:val="00E171A1"/>
    <w:rsid w:val="00E17EF2"/>
    <w:rsid w:val="00E22CE1"/>
    <w:rsid w:val="00E255D6"/>
    <w:rsid w:val="00E25B32"/>
    <w:rsid w:val="00E27126"/>
    <w:rsid w:val="00E27EA6"/>
    <w:rsid w:val="00E306B0"/>
    <w:rsid w:val="00E30922"/>
    <w:rsid w:val="00E30F39"/>
    <w:rsid w:val="00E311D7"/>
    <w:rsid w:val="00E31D65"/>
    <w:rsid w:val="00E34F2D"/>
    <w:rsid w:val="00E3611E"/>
    <w:rsid w:val="00E411D5"/>
    <w:rsid w:val="00E4230F"/>
    <w:rsid w:val="00E431B8"/>
    <w:rsid w:val="00E44AF3"/>
    <w:rsid w:val="00E45191"/>
    <w:rsid w:val="00E4671E"/>
    <w:rsid w:val="00E50BAB"/>
    <w:rsid w:val="00E517F3"/>
    <w:rsid w:val="00E51FF7"/>
    <w:rsid w:val="00E52A75"/>
    <w:rsid w:val="00E575C6"/>
    <w:rsid w:val="00E610E6"/>
    <w:rsid w:val="00E61A65"/>
    <w:rsid w:val="00E645C2"/>
    <w:rsid w:val="00E6478C"/>
    <w:rsid w:val="00E651FC"/>
    <w:rsid w:val="00E65369"/>
    <w:rsid w:val="00E65774"/>
    <w:rsid w:val="00E6780D"/>
    <w:rsid w:val="00E70A56"/>
    <w:rsid w:val="00E713F4"/>
    <w:rsid w:val="00E72526"/>
    <w:rsid w:val="00E744F9"/>
    <w:rsid w:val="00E74AD5"/>
    <w:rsid w:val="00E74ECE"/>
    <w:rsid w:val="00E75C17"/>
    <w:rsid w:val="00E765B1"/>
    <w:rsid w:val="00E768A5"/>
    <w:rsid w:val="00E772F0"/>
    <w:rsid w:val="00E842E2"/>
    <w:rsid w:val="00E85014"/>
    <w:rsid w:val="00E87BDC"/>
    <w:rsid w:val="00E91EB4"/>
    <w:rsid w:val="00E92498"/>
    <w:rsid w:val="00E93052"/>
    <w:rsid w:val="00E934B5"/>
    <w:rsid w:val="00E93FBE"/>
    <w:rsid w:val="00E95026"/>
    <w:rsid w:val="00E95FD9"/>
    <w:rsid w:val="00EA180C"/>
    <w:rsid w:val="00EA773C"/>
    <w:rsid w:val="00EA7C31"/>
    <w:rsid w:val="00EA7F48"/>
    <w:rsid w:val="00EB05B1"/>
    <w:rsid w:val="00EB35D5"/>
    <w:rsid w:val="00EB3606"/>
    <w:rsid w:val="00EB4B62"/>
    <w:rsid w:val="00EB72DD"/>
    <w:rsid w:val="00EC1202"/>
    <w:rsid w:val="00EC2C1A"/>
    <w:rsid w:val="00EC794A"/>
    <w:rsid w:val="00ED0D71"/>
    <w:rsid w:val="00ED1503"/>
    <w:rsid w:val="00ED1879"/>
    <w:rsid w:val="00ED31F3"/>
    <w:rsid w:val="00ED3CC6"/>
    <w:rsid w:val="00ED4086"/>
    <w:rsid w:val="00ED4DC7"/>
    <w:rsid w:val="00ED6759"/>
    <w:rsid w:val="00ED7681"/>
    <w:rsid w:val="00EE03C2"/>
    <w:rsid w:val="00EE0A59"/>
    <w:rsid w:val="00EE117B"/>
    <w:rsid w:val="00EE4522"/>
    <w:rsid w:val="00EE71B1"/>
    <w:rsid w:val="00EE75E6"/>
    <w:rsid w:val="00EF108F"/>
    <w:rsid w:val="00EF1A33"/>
    <w:rsid w:val="00EF34CF"/>
    <w:rsid w:val="00EF3AAC"/>
    <w:rsid w:val="00EF445C"/>
    <w:rsid w:val="00EF660D"/>
    <w:rsid w:val="00EF682A"/>
    <w:rsid w:val="00EF7203"/>
    <w:rsid w:val="00EF7396"/>
    <w:rsid w:val="00EF7B27"/>
    <w:rsid w:val="00F0020D"/>
    <w:rsid w:val="00F00254"/>
    <w:rsid w:val="00F03396"/>
    <w:rsid w:val="00F041D5"/>
    <w:rsid w:val="00F0537D"/>
    <w:rsid w:val="00F10C7E"/>
    <w:rsid w:val="00F16873"/>
    <w:rsid w:val="00F21239"/>
    <w:rsid w:val="00F21716"/>
    <w:rsid w:val="00F22298"/>
    <w:rsid w:val="00F223FF"/>
    <w:rsid w:val="00F24BED"/>
    <w:rsid w:val="00F309FA"/>
    <w:rsid w:val="00F33541"/>
    <w:rsid w:val="00F33604"/>
    <w:rsid w:val="00F33ACF"/>
    <w:rsid w:val="00F342F3"/>
    <w:rsid w:val="00F3472D"/>
    <w:rsid w:val="00F34EC5"/>
    <w:rsid w:val="00F35C18"/>
    <w:rsid w:val="00F36B57"/>
    <w:rsid w:val="00F36D72"/>
    <w:rsid w:val="00F37D6B"/>
    <w:rsid w:val="00F401B9"/>
    <w:rsid w:val="00F41415"/>
    <w:rsid w:val="00F443AA"/>
    <w:rsid w:val="00F45365"/>
    <w:rsid w:val="00F4719D"/>
    <w:rsid w:val="00F50D4B"/>
    <w:rsid w:val="00F510BF"/>
    <w:rsid w:val="00F53382"/>
    <w:rsid w:val="00F53531"/>
    <w:rsid w:val="00F55597"/>
    <w:rsid w:val="00F55E55"/>
    <w:rsid w:val="00F55EDC"/>
    <w:rsid w:val="00F56942"/>
    <w:rsid w:val="00F57690"/>
    <w:rsid w:val="00F605F3"/>
    <w:rsid w:val="00F61C23"/>
    <w:rsid w:val="00F624AF"/>
    <w:rsid w:val="00F6371A"/>
    <w:rsid w:val="00F63805"/>
    <w:rsid w:val="00F67099"/>
    <w:rsid w:val="00F72BE1"/>
    <w:rsid w:val="00F75758"/>
    <w:rsid w:val="00F7786E"/>
    <w:rsid w:val="00F8035A"/>
    <w:rsid w:val="00F8506C"/>
    <w:rsid w:val="00F86582"/>
    <w:rsid w:val="00F86B76"/>
    <w:rsid w:val="00F9479D"/>
    <w:rsid w:val="00F94D7D"/>
    <w:rsid w:val="00F95845"/>
    <w:rsid w:val="00F95990"/>
    <w:rsid w:val="00F95D18"/>
    <w:rsid w:val="00FA07B4"/>
    <w:rsid w:val="00FA0DED"/>
    <w:rsid w:val="00FA2EC0"/>
    <w:rsid w:val="00FA35B7"/>
    <w:rsid w:val="00FA3829"/>
    <w:rsid w:val="00FA413C"/>
    <w:rsid w:val="00FA6CC8"/>
    <w:rsid w:val="00FB261D"/>
    <w:rsid w:val="00FB2835"/>
    <w:rsid w:val="00FB3C3B"/>
    <w:rsid w:val="00FB3E69"/>
    <w:rsid w:val="00FB47A1"/>
    <w:rsid w:val="00FB5FF4"/>
    <w:rsid w:val="00FB6496"/>
    <w:rsid w:val="00FB66FB"/>
    <w:rsid w:val="00FC37EE"/>
    <w:rsid w:val="00FC4DFC"/>
    <w:rsid w:val="00FC5549"/>
    <w:rsid w:val="00FC60FC"/>
    <w:rsid w:val="00FC753F"/>
    <w:rsid w:val="00FD2596"/>
    <w:rsid w:val="00FD5C2E"/>
    <w:rsid w:val="00FE0DD1"/>
    <w:rsid w:val="00FE2A87"/>
    <w:rsid w:val="00FE2E8E"/>
    <w:rsid w:val="00FE373C"/>
    <w:rsid w:val="00FE390E"/>
    <w:rsid w:val="00FE391C"/>
    <w:rsid w:val="00FE39D2"/>
    <w:rsid w:val="00FE451A"/>
    <w:rsid w:val="00FE5696"/>
    <w:rsid w:val="00FE60DE"/>
    <w:rsid w:val="00FE7087"/>
    <w:rsid w:val="00FF16C6"/>
    <w:rsid w:val="00FF2F1A"/>
    <w:rsid w:val="00FF5145"/>
    <w:rsid w:val="00FF650B"/>
    <w:rsid w:val="00FF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0E82"/>
  <w15:docId w15:val="{D800AEB4-D197-4BDF-9CC4-C96B28A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B9"/>
    <w:pPr>
      <w:spacing w:before="120" w:after="0" w:line="240" w:lineRule="auto"/>
    </w:pPr>
    <w:rPr>
      <w:lang w:val="en-US"/>
    </w:rPr>
  </w:style>
  <w:style w:type="paragraph" w:styleId="Heading1">
    <w:name w:val="heading 1"/>
    <w:basedOn w:val="Normal"/>
    <w:next w:val="Normal"/>
    <w:link w:val="Heading1Char"/>
    <w:uiPriority w:val="9"/>
    <w:qFormat/>
    <w:rsid w:val="00327B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070"/>
    <w:pPr>
      <w:keepNext/>
      <w:keepLines/>
      <w:spacing w:before="200"/>
      <w:ind w:left="284"/>
      <w:outlineLvl w:val="2"/>
    </w:pPr>
    <w:rPr>
      <w:rFonts w:asciiTheme="majorHAnsi" w:eastAsiaTheme="majorEastAsia" w:hAnsiTheme="majorHAnsi" w:cstheme="majorBidi"/>
      <w:b/>
      <w:bCs/>
      <w:color w:val="0F243E"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STitle1">
    <w:name w:val="3DS Title 1"/>
    <w:basedOn w:val="Normal"/>
    <w:link w:val="3DSTitle1Car"/>
    <w:qFormat/>
    <w:rsid w:val="00470E49"/>
    <w:pPr>
      <w:keepNext/>
      <w:keepLines/>
      <w:numPr>
        <w:numId w:val="1"/>
      </w:numPr>
      <w:spacing w:before="480"/>
      <w:outlineLvl w:val="0"/>
    </w:pPr>
    <w:rPr>
      <w:rFonts w:eastAsiaTheme="majorEastAsia" w:cs="Arial"/>
      <w:b/>
      <w:bCs/>
      <w:color w:val="005386"/>
      <w:sz w:val="32"/>
      <w:szCs w:val="28"/>
    </w:rPr>
  </w:style>
  <w:style w:type="character" w:customStyle="1" w:styleId="3DSTitle1Car">
    <w:name w:val="3DS Title 1 Car"/>
    <w:basedOn w:val="DefaultParagraphFont"/>
    <w:link w:val="3DSTitle1"/>
    <w:rsid w:val="00470E49"/>
    <w:rPr>
      <w:rFonts w:eastAsiaTheme="majorEastAsia" w:cs="Arial"/>
      <w:b/>
      <w:bCs/>
      <w:color w:val="005386"/>
      <w:sz w:val="32"/>
      <w:szCs w:val="28"/>
      <w:lang w:val="en-US"/>
    </w:rPr>
  </w:style>
  <w:style w:type="paragraph" w:customStyle="1" w:styleId="3DSTitle2">
    <w:name w:val="3DS Title 2"/>
    <w:basedOn w:val="Normal"/>
    <w:link w:val="3DSTitle2Car"/>
    <w:autoRedefine/>
    <w:qFormat/>
    <w:rsid w:val="00470E49"/>
    <w:pPr>
      <w:keepNext/>
      <w:keepLines/>
      <w:spacing w:before="480"/>
      <w:ind w:left="788" w:hanging="431"/>
      <w:outlineLvl w:val="0"/>
    </w:pPr>
    <w:rPr>
      <w:rFonts w:eastAsiaTheme="majorEastAsia" w:cs="Arial"/>
      <w:bCs/>
      <w:color w:val="000000" w:themeColor="text1"/>
      <w:sz w:val="28"/>
      <w:szCs w:val="28"/>
    </w:rPr>
  </w:style>
  <w:style w:type="character" w:customStyle="1" w:styleId="3DSTitle2Car">
    <w:name w:val="3DS Title 2 Car"/>
    <w:basedOn w:val="DefaultParagraphFont"/>
    <w:link w:val="3DSTitle2"/>
    <w:rsid w:val="00470E49"/>
    <w:rPr>
      <w:rFonts w:ascii="Arial" w:eastAsiaTheme="majorEastAsia" w:hAnsi="Arial" w:cs="Arial"/>
      <w:bCs/>
      <w:color w:val="000000" w:themeColor="text1"/>
      <w:sz w:val="28"/>
      <w:szCs w:val="28"/>
    </w:rPr>
  </w:style>
  <w:style w:type="paragraph" w:styleId="ListBullet4">
    <w:name w:val="List Bullet 4"/>
    <w:basedOn w:val="Normal"/>
    <w:uiPriority w:val="99"/>
    <w:unhideWhenUsed/>
    <w:rsid w:val="00F33ACF"/>
    <w:pPr>
      <w:numPr>
        <w:numId w:val="2"/>
      </w:numPr>
      <w:contextualSpacing/>
    </w:pPr>
  </w:style>
  <w:style w:type="paragraph" w:styleId="Quote">
    <w:name w:val="Quote"/>
    <w:basedOn w:val="Normal"/>
    <w:next w:val="Normal"/>
    <w:link w:val="QuoteChar"/>
    <w:uiPriority w:val="29"/>
    <w:qFormat/>
    <w:rsid w:val="006E3B88"/>
    <w:rPr>
      <w:rFonts w:cs="Times New Roman"/>
      <w:b/>
      <w:iCs/>
      <w:color w:val="0070C0"/>
      <w:lang w:eastAsia="fr-FR"/>
    </w:rPr>
  </w:style>
  <w:style w:type="character" w:customStyle="1" w:styleId="QuoteChar">
    <w:name w:val="Quote Char"/>
    <w:basedOn w:val="DefaultParagraphFont"/>
    <w:link w:val="Quote"/>
    <w:uiPriority w:val="29"/>
    <w:rsid w:val="006E3B88"/>
    <w:rPr>
      <w:rFonts w:ascii="Arial" w:hAnsi="Arial" w:cs="Times New Roman"/>
      <w:b/>
      <w:iCs/>
      <w:color w:val="0070C0"/>
      <w:lang w:val="fr-FR" w:eastAsia="fr-FR"/>
    </w:rPr>
  </w:style>
  <w:style w:type="paragraph" w:styleId="ListBullet2">
    <w:name w:val="List Bullet 2"/>
    <w:basedOn w:val="Normal"/>
    <w:uiPriority w:val="99"/>
    <w:unhideWhenUsed/>
    <w:rsid w:val="002B5031"/>
    <w:pPr>
      <w:numPr>
        <w:numId w:val="3"/>
      </w:numPr>
      <w:contextualSpacing/>
    </w:pPr>
  </w:style>
  <w:style w:type="character" w:styleId="Emphasis">
    <w:name w:val="Emphasis"/>
    <w:basedOn w:val="DefaultParagraphFont"/>
    <w:uiPriority w:val="20"/>
    <w:qFormat/>
    <w:rsid w:val="003632EE"/>
    <w:rPr>
      <w:b/>
      <w:i/>
      <w:iCs/>
      <w:color w:val="E36C0A" w:themeColor="accent6" w:themeShade="BF"/>
    </w:rPr>
  </w:style>
  <w:style w:type="paragraph" w:styleId="ListBullet3">
    <w:name w:val="List Bullet 3"/>
    <w:basedOn w:val="Normal"/>
    <w:uiPriority w:val="99"/>
    <w:unhideWhenUsed/>
    <w:rsid w:val="00076E6B"/>
    <w:pPr>
      <w:numPr>
        <w:numId w:val="4"/>
      </w:numPr>
      <w:contextualSpacing/>
    </w:pPr>
  </w:style>
  <w:style w:type="paragraph" w:customStyle="1" w:styleId="NormalBold">
    <w:name w:val="Normal Bold"/>
    <w:basedOn w:val="Normal"/>
    <w:qFormat/>
    <w:rsid w:val="00857C94"/>
    <w:pPr>
      <w:spacing w:before="0" w:after="200" w:line="276" w:lineRule="auto"/>
    </w:pPr>
  </w:style>
  <w:style w:type="paragraph" w:styleId="Subtitle">
    <w:name w:val="Subtitle"/>
    <w:basedOn w:val="Normal"/>
    <w:next w:val="Normal"/>
    <w:link w:val="SubtitleChar"/>
    <w:uiPriority w:val="11"/>
    <w:qFormat/>
    <w:rsid w:val="00790756"/>
    <w:pPr>
      <w:numPr>
        <w:ilvl w:val="1"/>
      </w:numPr>
    </w:pPr>
    <w:rPr>
      <w:rFonts w:asciiTheme="majorHAnsi" w:eastAsiaTheme="majorEastAsia" w:hAnsiTheme="majorHAnsi" w:cstheme="majorBidi"/>
      <w:i/>
      <w:iCs/>
      <w:color w:val="4F81BD" w:themeColor="accent1"/>
      <w:spacing w:val="15"/>
      <w:sz w:val="36"/>
      <w:szCs w:val="24"/>
    </w:rPr>
  </w:style>
  <w:style w:type="character" w:customStyle="1" w:styleId="SubtitleChar">
    <w:name w:val="Subtitle Char"/>
    <w:basedOn w:val="DefaultParagraphFont"/>
    <w:link w:val="Subtitle"/>
    <w:uiPriority w:val="11"/>
    <w:rsid w:val="00790756"/>
    <w:rPr>
      <w:rFonts w:asciiTheme="majorHAnsi" w:eastAsiaTheme="majorEastAsia" w:hAnsiTheme="majorHAnsi" w:cstheme="majorBidi"/>
      <w:i/>
      <w:iCs/>
      <w:color w:val="4F81BD" w:themeColor="accent1"/>
      <w:spacing w:val="15"/>
      <w:sz w:val="36"/>
      <w:szCs w:val="24"/>
      <w:lang w:val="en-US"/>
    </w:rPr>
  </w:style>
  <w:style w:type="character" w:customStyle="1" w:styleId="Heading1Char">
    <w:name w:val="Heading 1 Char"/>
    <w:basedOn w:val="DefaultParagraphFont"/>
    <w:link w:val="Heading1"/>
    <w:uiPriority w:val="9"/>
    <w:rsid w:val="00327BCA"/>
    <w:rPr>
      <w:rFonts w:asciiTheme="majorHAnsi" w:eastAsiaTheme="majorEastAsia" w:hAnsiTheme="majorHAnsi" w:cstheme="majorBidi"/>
      <w:b/>
      <w:bCs/>
      <w:color w:val="365F91" w:themeColor="accent1" w:themeShade="BF"/>
      <w:sz w:val="28"/>
      <w:szCs w:val="28"/>
      <w:lang w:val="fr-FR"/>
    </w:rPr>
  </w:style>
  <w:style w:type="paragraph" w:styleId="Title">
    <w:name w:val="Title"/>
    <w:basedOn w:val="Normal"/>
    <w:next w:val="Normal"/>
    <w:link w:val="TitleChar"/>
    <w:uiPriority w:val="10"/>
    <w:qFormat/>
    <w:rsid w:val="00327BC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7BCA"/>
    <w:rPr>
      <w:rFonts w:asciiTheme="majorHAnsi" w:eastAsiaTheme="majorEastAsia" w:hAnsiTheme="majorHAnsi" w:cstheme="majorBidi"/>
      <w:color w:val="17365D" w:themeColor="text2" w:themeShade="BF"/>
      <w:spacing w:val="5"/>
      <w:kern w:val="28"/>
      <w:sz w:val="52"/>
      <w:szCs w:val="52"/>
      <w:lang w:val="fr-FR"/>
    </w:rPr>
  </w:style>
  <w:style w:type="character" w:styleId="Hyperlink">
    <w:name w:val="Hyperlink"/>
    <w:basedOn w:val="DefaultParagraphFont"/>
    <w:uiPriority w:val="99"/>
    <w:unhideWhenUsed/>
    <w:rsid w:val="005D073C"/>
    <w:rPr>
      <w:color w:val="0000FF"/>
      <w:u w:val="single"/>
    </w:rPr>
  </w:style>
  <w:style w:type="paragraph" w:styleId="ListBullet">
    <w:name w:val="List Bullet"/>
    <w:basedOn w:val="Normal"/>
    <w:uiPriority w:val="99"/>
    <w:unhideWhenUsed/>
    <w:rsid w:val="00EF7B27"/>
    <w:pPr>
      <w:numPr>
        <w:numId w:val="5"/>
      </w:numPr>
      <w:contextualSpacing/>
    </w:pPr>
  </w:style>
  <w:style w:type="character" w:customStyle="1" w:styleId="Heading2Char">
    <w:name w:val="Heading 2 Char"/>
    <w:basedOn w:val="DefaultParagraphFont"/>
    <w:link w:val="Heading2"/>
    <w:uiPriority w:val="9"/>
    <w:rsid w:val="00381635"/>
    <w:rPr>
      <w:rFonts w:asciiTheme="majorHAnsi" w:eastAsiaTheme="majorEastAsia" w:hAnsiTheme="majorHAnsi" w:cstheme="majorBidi"/>
      <w:b/>
      <w:bCs/>
      <w:color w:val="4F81BD" w:themeColor="accent1"/>
      <w:sz w:val="26"/>
      <w:szCs w:val="26"/>
      <w:lang w:val="fr-FR"/>
    </w:rPr>
  </w:style>
  <w:style w:type="paragraph" w:styleId="ListNumber">
    <w:name w:val="List Number"/>
    <w:basedOn w:val="Normal"/>
    <w:uiPriority w:val="99"/>
    <w:unhideWhenUsed/>
    <w:rsid w:val="00D33CFA"/>
    <w:pPr>
      <w:numPr>
        <w:numId w:val="6"/>
      </w:numPr>
      <w:contextualSpacing/>
    </w:pPr>
  </w:style>
  <w:style w:type="character" w:customStyle="1" w:styleId="Heading3Char">
    <w:name w:val="Heading 3 Char"/>
    <w:basedOn w:val="DefaultParagraphFont"/>
    <w:link w:val="Heading3"/>
    <w:uiPriority w:val="9"/>
    <w:rsid w:val="002C5070"/>
    <w:rPr>
      <w:rFonts w:asciiTheme="majorHAnsi" w:eastAsiaTheme="majorEastAsia" w:hAnsiTheme="majorHAnsi" w:cstheme="majorBidi"/>
      <w:b/>
      <w:bCs/>
      <w:color w:val="0F243E" w:themeColor="text2" w:themeShade="80"/>
      <w:lang w:val="fr-FR"/>
    </w:rPr>
  </w:style>
  <w:style w:type="paragraph" w:styleId="Header">
    <w:name w:val="header"/>
    <w:basedOn w:val="Normal"/>
    <w:link w:val="HeaderChar"/>
    <w:uiPriority w:val="99"/>
    <w:unhideWhenUsed/>
    <w:rsid w:val="00305E4E"/>
    <w:pPr>
      <w:tabs>
        <w:tab w:val="center" w:pos="4513"/>
        <w:tab w:val="right" w:pos="9026"/>
      </w:tabs>
      <w:spacing w:before="0"/>
    </w:pPr>
  </w:style>
  <w:style w:type="character" w:customStyle="1" w:styleId="HeaderChar">
    <w:name w:val="Header Char"/>
    <w:basedOn w:val="DefaultParagraphFont"/>
    <w:link w:val="Header"/>
    <w:uiPriority w:val="99"/>
    <w:rsid w:val="00305E4E"/>
    <w:rPr>
      <w:lang w:val="fr-FR"/>
    </w:rPr>
  </w:style>
  <w:style w:type="paragraph" w:styleId="Footer">
    <w:name w:val="footer"/>
    <w:basedOn w:val="Normal"/>
    <w:link w:val="FooterChar"/>
    <w:uiPriority w:val="99"/>
    <w:unhideWhenUsed/>
    <w:rsid w:val="00305E4E"/>
    <w:pPr>
      <w:tabs>
        <w:tab w:val="center" w:pos="4513"/>
        <w:tab w:val="right" w:pos="9026"/>
      </w:tabs>
      <w:spacing w:before="0"/>
    </w:pPr>
  </w:style>
  <w:style w:type="character" w:customStyle="1" w:styleId="FooterChar">
    <w:name w:val="Footer Char"/>
    <w:basedOn w:val="DefaultParagraphFont"/>
    <w:link w:val="Footer"/>
    <w:uiPriority w:val="99"/>
    <w:rsid w:val="00305E4E"/>
    <w:rPr>
      <w:lang w:val="fr-FR"/>
    </w:rPr>
  </w:style>
  <w:style w:type="paragraph" w:styleId="NoSpacing">
    <w:name w:val="No Spacing"/>
    <w:link w:val="NoSpacingChar"/>
    <w:uiPriority w:val="1"/>
    <w:qFormat/>
    <w:rsid w:val="00305E4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05E4E"/>
    <w:rPr>
      <w:rFonts w:eastAsiaTheme="minorEastAsia"/>
      <w:lang w:val="en-US" w:eastAsia="ja-JP"/>
    </w:rPr>
  </w:style>
  <w:style w:type="paragraph" w:styleId="BalloonText">
    <w:name w:val="Balloon Text"/>
    <w:basedOn w:val="Normal"/>
    <w:link w:val="BalloonTextChar"/>
    <w:uiPriority w:val="99"/>
    <w:semiHidden/>
    <w:unhideWhenUsed/>
    <w:rsid w:val="00305E4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E4E"/>
    <w:rPr>
      <w:rFonts w:ascii="Tahoma" w:hAnsi="Tahoma" w:cs="Tahoma"/>
      <w:sz w:val="16"/>
      <w:szCs w:val="16"/>
      <w:lang w:val="fr-FR"/>
    </w:rPr>
  </w:style>
  <w:style w:type="paragraph" w:customStyle="1" w:styleId="Default">
    <w:name w:val="Default"/>
    <w:rsid w:val="001F648E"/>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64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453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6D50A2"/>
    <w:pPr>
      <w:ind w:left="720"/>
      <w:contextualSpacing/>
    </w:pPr>
  </w:style>
  <w:style w:type="character" w:styleId="FollowedHyperlink">
    <w:name w:val="FollowedHyperlink"/>
    <w:basedOn w:val="DefaultParagraphFont"/>
    <w:uiPriority w:val="99"/>
    <w:semiHidden/>
    <w:unhideWhenUsed/>
    <w:rsid w:val="00AF296A"/>
    <w:rPr>
      <w:color w:val="800080" w:themeColor="followedHyperlink"/>
      <w:u w:val="single"/>
    </w:rPr>
  </w:style>
  <w:style w:type="paragraph" w:styleId="Caption">
    <w:name w:val="caption"/>
    <w:basedOn w:val="Normal"/>
    <w:next w:val="Normal"/>
    <w:unhideWhenUsed/>
    <w:qFormat/>
    <w:rsid w:val="00945140"/>
    <w:pPr>
      <w:spacing w:before="0" w:after="200"/>
    </w:pPr>
    <w:rPr>
      <w:b/>
      <w:bCs/>
      <w:color w:val="4F81BD" w:themeColor="accent1"/>
      <w:sz w:val="18"/>
      <w:szCs w:val="18"/>
    </w:rPr>
  </w:style>
  <w:style w:type="paragraph" w:styleId="NormalWeb">
    <w:name w:val="Normal (Web)"/>
    <w:basedOn w:val="Normal"/>
    <w:uiPriority w:val="99"/>
    <w:semiHidden/>
    <w:unhideWhenUsed/>
    <w:rsid w:val="00E255D6"/>
    <w:pPr>
      <w:spacing w:before="100" w:beforeAutospacing="1" w:after="100" w:afterAutospacing="1"/>
    </w:pPr>
    <w:rPr>
      <w:rFonts w:ascii="Times New Roman" w:eastAsia="Times New Roman" w:hAnsi="Times New Roman" w:cs="Times New Roman"/>
      <w:sz w:val="24"/>
      <w:szCs w:val="24"/>
      <w:lang w:val="en-GB" w:eastAsia="en-GB"/>
    </w:rPr>
  </w:style>
  <w:style w:type="table" w:styleId="LightList-Accent1">
    <w:name w:val="Light List Accent 1"/>
    <w:basedOn w:val="TableNormal"/>
    <w:uiPriority w:val="61"/>
    <w:rsid w:val="00871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6E0BD2"/>
    <w:rPr>
      <w:sz w:val="16"/>
      <w:szCs w:val="16"/>
    </w:rPr>
  </w:style>
  <w:style w:type="paragraph" w:styleId="CommentText">
    <w:name w:val="annotation text"/>
    <w:basedOn w:val="Normal"/>
    <w:link w:val="CommentTextChar"/>
    <w:uiPriority w:val="99"/>
    <w:unhideWhenUsed/>
    <w:rsid w:val="006E0BD2"/>
    <w:rPr>
      <w:sz w:val="20"/>
      <w:szCs w:val="20"/>
    </w:rPr>
  </w:style>
  <w:style w:type="character" w:customStyle="1" w:styleId="CommentTextChar">
    <w:name w:val="Comment Text Char"/>
    <w:basedOn w:val="DefaultParagraphFont"/>
    <w:link w:val="CommentText"/>
    <w:uiPriority w:val="99"/>
    <w:rsid w:val="006E0BD2"/>
    <w:rPr>
      <w:sz w:val="20"/>
      <w:szCs w:val="20"/>
      <w:lang w:val="fr-FR"/>
    </w:rPr>
  </w:style>
  <w:style w:type="paragraph" w:styleId="CommentSubject">
    <w:name w:val="annotation subject"/>
    <w:basedOn w:val="CommentText"/>
    <w:next w:val="CommentText"/>
    <w:link w:val="CommentSubjectChar"/>
    <w:uiPriority w:val="99"/>
    <w:semiHidden/>
    <w:unhideWhenUsed/>
    <w:rsid w:val="006E0BD2"/>
    <w:rPr>
      <w:b/>
      <w:bCs/>
    </w:rPr>
  </w:style>
  <w:style w:type="character" w:customStyle="1" w:styleId="CommentSubjectChar">
    <w:name w:val="Comment Subject Char"/>
    <w:basedOn w:val="CommentTextChar"/>
    <w:link w:val="CommentSubject"/>
    <w:uiPriority w:val="99"/>
    <w:semiHidden/>
    <w:rsid w:val="006E0BD2"/>
    <w:rPr>
      <w:b/>
      <w:bCs/>
      <w:sz w:val="20"/>
      <w:szCs w:val="20"/>
      <w:lang w:val="fr-FR"/>
    </w:rPr>
  </w:style>
  <w:style w:type="paragraph" w:styleId="Revision">
    <w:name w:val="Revision"/>
    <w:hidden/>
    <w:uiPriority w:val="99"/>
    <w:semiHidden/>
    <w:rsid w:val="009644D2"/>
    <w:pPr>
      <w:spacing w:after="0" w:line="240" w:lineRule="auto"/>
    </w:pPr>
    <w:rPr>
      <w:lang w:val="fr-FR"/>
    </w:rPr>
  </w:style>
  <w:style w:type="character" w:styleId="IntenseEmphasis">
    <w:name w:val="Intense Emphasis"/>
    <w:basedOn w:val="DefaultParagraphFont"/>
    <w:uiPriority w:val="21"/>
    <w:qFormat/>
    <w:rsid w:val="00ED1503"/>
    <w:rPr>
      <w:b/>
      <w:i/>
      <w:sz w:val="24"/>
      <w:szCs w:val="24"/>
      <w:u w:val="single"/>
    </w:rPr>
  </w:style>
  <w:style w:type="character" w:styleId="FootnoteReference">
    <w:name w:val="footnote reference"/>
    <w:basedOn w:val="DefaultParagraphFont"/>
    <w:uiPriority w:val="99"/>
    <w:semiHidden/>
    <w:unhideWhenUsed/>
    <w:rsid w:val="00ED1503"/>
    <w:rPr>
      <w:vertAlign w:val="superscript"/>
    </w:rPr>
  </w:style>
  <w:style w:type="paragraph" w:customStyle="1" w:styleId="ReportBodyText">
    <w:name w:val="Report Body Text"/>
    <w:basedOn w:val="Normal"/>
    <w:rsid w:val="00ED1503"/>
    <w:pPr>
      <w:snapToGrid w:val="0"/>
      <w:spacing w:after="120" w:line="280" w:lineRule="exact"/>
    </w:pPr>
    <w:rPr>
      <w:rFonts w:ascii="Arial" w:hAnsi="Arial" w:cs="Arial"/>
      <w:lang w:eastAsia="en-GB"/>
    </w:rPr>
  </w:style>
  <w:style w:type="character" w:styleId="LineNumber">
    <w:name w:val="line number"/>
    <w:basedOn w:val="DefaultParagraphFont"/>
    <w:uiPriority w:val="99"/>
    <w:semiHidden/>
    <w:unhideWhenUsed/>
    <w:rsid w:val="00C04878"/>
  </w:style>
  <w:style w:type="character" w:styleId="UnresolvedMention">
    <w:name w:val="Unresolved Mention"/>
    <w:basedOn w:val="DefaultParagraphFont"/>
    <w:uiPriority w:val="99"/>
    <w:semiHidden/>
    <w:unhideWhenUsed/>
    <w:rsid w:val="008A55A8"/>
    <w:rPr>
      <w:color w:val="605E5C"/>
      <w:shd w:val="clear" w:color="auto" w:fill="E1DFDD"/>
    </w:rPr>
  </w:style>
  <w:style w:type="character" w:styleId="Strong">
    <w:name w:val="Strong"/>
    <w:basedOn w:val="DefaultParagraphFont"/>
    <w:uiPriority w:val="22"/>
    <w:qFormat/>
    <w:rsid w:val="00EF7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466">
      <w:bodyDiv w:val="1"/>
      <w:marLeft w:val="0"/>
      <w:marRight w:val="0"/>
      <w:marTop w:val="0"/>
      <w:marBottom w:val="0"/>
      <w:divBdr>
        <w:top w:val="none" w:sz="0" w:space="0" w:color="auto"/>
        <w:left w:val="none" w:sz="0" w:space="0" w:color="auto"/>
        <w:bottom w:val="none" w:sz="0" w:space="0" w:color="auto"/>
        <w:right w:val="none" w:sz="0" w:space="0" w:color="auto"/>
      </w:divBdr>
    </w:div>
    <w:div w:id="41178665">
      <w:bodyDiv w:val="1"/>
      <w:marLeft w:val="0"/>
      <w:marRight w:val="0"/>
      <w:marTop w:val="0"/>
      <w:marBottom w:val="0"/>
      <w:divBdr>
        <w:top w:val="none" w:sz="0" w:space="0" w:color="auto"/>
        <w:left w:val="none" w:sz="0" w:space="0" w:color="auto"/>
        <w:bottom w:val="none" w:sz="0" w:space="0" w:color="auto"/>
        <w:right w:val="none" w:sz="0" w:space="0" w:color="auto"/>
      </w:divBdr>
    </w:div>
    <w:div w:id="99692300">
      <w:bodyDiv w:val="1"/>
      <w:marLeft w:val="0"/>
      <w:marRight w:val="0"/>
      <w:marTop w:val="0"/>
      <w:marBottom w:val="0"/>
      <w:divBdr>
        <w:top w:val="none" w:sz="0" w:space="0" w:color="auto"/>
        <w:left w:val="none" w:sz="0" w:space="0" w:color="auto"/>
        <w:bottom w:val="none" w:sz="0" w:space="0" w:color="auto"/>
        <w:right w:val="none" w:sz="0" w:space="0" w:color="auto"/>
      </w:divBdr>
    </w:div>
    <w:div w:id="172573150">
      <w:bodyDiv w:val="1"/>
      <w:marLeft w:val="0"/>
      <w:marRight w:val="0"/>
      <w:marTop w:val="0"/>
      <w:marBottom w:val="0"/>
      <w:divBdr>
        <w:top w:val="none" w:sz="0" w:space="0" w:color="auto"/>
        <w:left w:val="none" w:sz="0" w:space="0" w:color="auto"/>
        <w:bottom w:val="none" w:sz="0" w:space="0" w:color="auto"/>
        <w:right w:val="none" w:sz="0" w:space="0" w:color="auto"/>
      </w:divBdr>
    </w:div>
    <w:div w:id="357774093">
      <w:bodyDiv w:val="1"/>
      <w:marLeft w:val="0"/>
      <w:marRight w:val="0"/>
      <w:marTop w:val="0"/>
      <w:marBottom w:val="0"/>
      <w:divBdr>
        <w:top w:val="none" w:sz="0" w:space="0" w:color="auto"/>
        <w:left w:val="none" w:sz="0" w:space="0" w:color="auto"/>
        <w:bottom w:val="none" w:sz="0" w:space="0" w:color="auto"/>
        <w:right w:val="none" w:sz="0" w:space="0" w:color="auto"/>
      </w:divBdr>
      <w:divsChild>
        <w:div w:id="738863090">
          <w:marLeft w:val="0"/>
          <w:marRight w:val="0"/>
          <w:marTop w:val="0"/>
          <w:marBottom w:val="0"/>
          <w:divBdr>
            <w:top w:val="none" w:sz="0" w:space="0" w:color="auto"/>
            <w:left w:val="none" w:sz="0" w:space="0" w:color="auto"/>
            <w:bottom w:val="none" w:sz="0" w:space="0" w:color="auto"/>
            <w:right w:val="none" w:sz="0" w:space="0" w:color="auto"/>
          </w:divBdr>
          <w:divsChild>
            <w:div w:id="1237980300">
              <w:marLeft w:val="0"/>
              <w:marRight w:val="0"/>
              <w:marTop w:val="0"/>
              <w:marBottom w:val="0"/>
              <w:divBdr>
                <w:top w:val="none" w:sz="0" w:space="0" w:color="auto"/>
                <w:left w:val="none" w:sz="0" w:space="0" w:color="auto"/>
                <w:bottom w:val="none" w:sz="0" w:space="0" w:color="auto"/>
                <w:right w:val="none" w:sz="0" w:space="0" w:color="auto"/>
              </w:divBdr>
            </w:div>
            <w:div w:id="1257248765">
              <w:marLeft w:val="0"/>
              <w:marRight w:val="0"/>
              <w:marTop w:val="0"/>
              <w:marBottom w:val="0"/>
              <w:divBdr>
                <w:top w:val="none" w:sz="0" w:space="0" w:color="auto"/>
                <w:left w:val="none" w:sz="0" w:space="0" w:color="auto"/>
                <w:bottom w:val="none" w:sz="0" w:space="0" w:color="auto"/>
                <w:right w:val="none" w:sz="0" w:space="0" w:color="auto"/>
              </w:divBdr>
            </w:div>
            <w:div w:id="1445465121">
              <w:marLeft w:val="0"/>
              <w:marRight w:val="0"/>
              <w:marTop w:val="0"/>
              <w:marBottom w:val="0"/>
              <w:divBdr>
                <w:top w:val="none" w:sz="0" w:space="0" w:color="auto"/>
                <w:left w:val="none" w:sz="0" w:space="0" w:color="auto"/>
                <w:bottom w:val="none" w:sz="0" w:space="0" w:color="auto"/>
                <w:right w:val="none" w:sz="0" w:space="0" w:color="auto"/>
              </w:divBdr>
            </w:div>
            <w:div w:id="1277639985">
              <w:marLeft w:val="0"/>
              <w:marRight w:val="0"/>
              <w:marTop w:val="0"/>
              <w:marBottom w:val="0"/>
              <w:divBdr>
                <w:top w:val="none" w:sz="0" w:space="0" w:color="auto"/>
                <w:left w:val="none" w:sz="0" w:space="0" w:color="auto"/>
                <w:bottom w:val="none" w:sz="0" w:space="0" w:color="auto"/>
                <w:right w:val="none" w:sz="0" w:space="0" w:color="auto"/>
              </w:divBdr>
            </w:div>
            <w:div w:id="325597580">
              <w:marLeft w:val="0"/>
              <w:marRight w:val="0"/>
              <w:marTop w:val="0"/>
              <w:marBottom w:val="0"/>
              <w:divBdr>
                <w:top w:val="none" w:sz="0" w:space="0" w:color="auto"/>
                <w:left w:val="none" w:sz="0" w:space="0" w:color="auto"/>
                <w:bottom w:val="none" w:sz="0" w:space="0" w:color="auto"/>
                <w:right w:val="none" w:sz="0" w:space="0" w:color="auto"/>
              </w:divBdr>
            </w:div>
            <w:div w:id="1223180632">
              <w:marLeft w:val="0"/>
              <w:marRight w:val="0"/>
              <w:marTop w:val="0"/>
              <w:marBottom w:val="0"/>
              <w:divBdr>
                <w:top w:val="none" w:sz="0" w:space="0" w:color="auto"/>
                <w:left w:val="none" w:sz="0" w:space="0" w:color="auto"/>
                <w:bottom w:val="none" w:sz="0" w:space="0" w:color="auto"/>
                <w:right w:val="none" w:sz="0" w:space="0" w:color="auto"/>
              </w:divBdr>
            </w:div>
            <w:div w:id="2027249816">
              <w:marLeft w:val="0"/>
              <w:marRight w:val="0"/>
              <w:marTop w:val="0"/>
              <w:marBottom w:val="0"/>
              <w:divBdr>
                <w:top w:val="none" w:sz="0" w:space="0" w:color="auto"/>
                <w:left w:val="none" w:sz="0" w:space="0" w:color="auto"/>
                <w:bottom w:val="none" w:sz="0" w:space="0" w:color="auto"/>
                <w:right w:val="none" w:sz="0" w:space="0" w:color="auto"/>
              </w:divBdr>
            </w:div>
            <w:div w:id="1563709495">
              <w:marLeft w:val="0"/>
              <w:marRight w:val="0"/>
              <w:marTop w:val="0"/>
              <w:marBottom w:val="0"/>
              <w:divBdr>
                <w:top w:val="none" w:sz="0" w:space="0" w:color="auto"/>
                <w:left w:val="none" w:sz="0" w:space="0" w:color="auto"/>
                <w:bottom w:val="none" w:sz="0" w:space="0" w:color="auto"/>
                <w:right w:val="none" w:sz="0" w:space="0" w:color="auto"/>
              </w:divBdr>
            </w:div>
            <w:div w:id="1683699047">
              <w:marLeft w:val="0"/>
              <w:marRight w:val="0"/>
              <w:marTop w:val="0"/>
              <w:marBottom w:val="0"/>
              <w:divBdr>
                <w:top w:val="none" w:sz="0" w:space="0" w:color="auto"/>
                <w:left w:val="none" w:sz="0" w:space="0" w:color="auto"/>
                <w:bottom w:val="none" w:sz="0" w:space="0" w:color="auto"/>
                <w:right w:val="none" w:sz="0" w:space="0" w:color="auto"/>
              </w:divBdr>
            </w:div>
            <w:div w:id="1453599405">
              <w:marLeft w:val="0"/>
              <w:marRight w:val="0"/>
              <w:marTop w:val="0"/>
              <w:marBottom w:val="0"/>
              <w:divBdr>
                <w:top w:val="none" w:sz="0" w:space="0" w:color="auto"/>
                <w:left w:val="none" w:sz="0" w:space="0" w:color="auto"/>
                <w:bottom w:val="none" w:sz="0" w:space="0" w:color="auto"/>
                <w:right w:val="none" w:sz="0" w:space="0" w:color="auto"/>
              </w:divBdr>
            </w:div>
            <w:div w:id="901788282">
              <w:marLeft w:val="0"/>
              <w:marRight w:val="0"/>
              <w:marTop w:val="0"/>
              <w:marBottom w:val="0"/>
              <w:divBdr>
                <w:top w:val="none" w:sz="0" w:space="0" w:color="auto"/>
                <w:left w:val="none" w:sz="0" w:space="0" w:color="auto"/>
                <w:bottom w:val="none" w:sz="0" w:space="0" w:color="auto"/>
                <w:right w:val="none" w:sz="0" w:space="0" w:color="auto"/>
              </w:divBdr>
            </w:div>
            <w:div w:id="415126485">
              <w:marLeft w:val="0"/>
              <w:marRight w:val="0"/>
              <w:marTop w:val="0"/>
              <w:marBottom w:val="0"/>
              <w:divBdr>
                <w:top w:val="none" w:sz="0" w:space="0" w:color="auto"/>
                <w:left w:val="none" w:sz="0" w:space="0" w:color="auto"/>
                <w:bottom w:val="none" w:sz="0" w:space="0" w:color="auto"/>
                <w:right w:val="none" w:sz="0" w:space="0" w:color="auto"/>
              </w:divBdr>
            </w:div>
            <w:div w:id="1014039937">
              <w:marLeft w:val="0"/>
              <w:marRight w:val="0"/>
              <w:marTop w:val="0"/>
              <w:marBottom w:val="0"/>
              <w:divBdr>
                <w:top w:val="none" w:sz="0" w:space="0" w:color="auto"/>
                <w:left w:val="none" w:sz="0" w:space="0" w:color="auto"/>
                <w:bottom w:val="none" w:sz="0" w:space="0" w:color="auto"/>
                <w:right w:val="none" w:sz="0" w:space="0" w:color="auto"/>
              </w:divBdr>
            </w:div>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6123">
      <w:bodyDiv w:val="1"/>
      <w:marLeft w:val="300"/>
      <w:marRight w:val="300"/>
      <w:marTop w:val="300"/>
      <w:marBottom w:val="300"/>
      <w:divBdr>
        <w:top w:val="none" w:sz="0" w:space="0" w:color="auto"/>
        <w:left w:val="none" w:sz="0" w:space="0" w:color="auto"/>
        <w:bottom w:val="none" w:sz="0" w:space="0" w:color="auto"/>
        <w:right w:val="none" w:sz="0" w:space="0" w:color="auto"/>
      </w:divBdr>
    </w:div>
    <w:div w:id="440613430">
      <w:bodyDiv w:val="1"/>
      <w:marLeft w:val="0"/>
      <w:marRight w:val="0"/>
      <w:marTop w:val="0"/>
      <w:marBottom w:val="0"/>
      <w:divBdr>
        <w:top w:val="none" w:sz="0" w:space="0" w:color="auto"/>
        <w:left w:val="none" w:sz="0" w:space="0" w:color="auto"/>
        <w:bottom w:val="none" w:sz="0" w:space="0" w:color="auto"/>
        <w:right w:val="none" w:sz="0" w:space="0" w:color="auto"/>
      </w:divBdr>
    </w:div>
    <w:div w:id="671954172">
      <w:bodyDiv w:val="1"/>
      <w:marLeft w:val="0"/>
      <w:marRight w:val="0"/>
      <w:marTop w:val="0"/>
      <w:marBottom w:val="0"/>
      <w:divBdr>
        <w:top w:val="none" w:sz="0" w:space="0" w:color="auto"/>
        <w:left w:val="none" w:sz="0" w:space="0" w:color="auto"/>
        <w:bottom w:val="none" w:sz="0" w:space="0" w:color="auto"/>
        <w:right w:val="none" w:sz="0" w:space="0" w:color="auto"/>
      </w:divBdr>
    </w:div>
    <w:div w:id="718894520">
      <w:bodyDiv w:val="1"/>
      <w:marLeft w:val="0"/>
      <w:marRight w:val="0"/>
      <w:marTop w:val="0"/>
      <w:marBottom w:val="0"/>
      <w:divBdr>
        <w:top w:val="none" w:sz="0" w:space="0" w:color="auto"/>
        <w:left w:val="none" w:sz="0" w:space="0" w:color="auto"/>
        <w:bottom w:val="none" w:sz="0" w:space="0" w:color="auto"/>
        <w:right w:val="none" w:sz="0" w:space="0" w:color="auto"/>
      </w:divBdr>
    </w:div>
    <w:div w:id="751853589">
      <w:bodyDiv w:val="1"/>
      <w:marLeft w:val="45"/>
      <w:marRight w:val="45"/>
      <w:marTop w:val="45"/>
      <w:marBottom w:val="45"/>
      <w:divBdr>
        <w:top w:val="none" w:sz="0" w:space="0" w:color="auto"/>
        <w:left w:val="none" w:sz="0" w:space="0" w:color="auto"/>
        <w:bottom w:val="none" w:sz="0" w:space="0" w:color="auto"/>
        <w:right w:val="none" w:sz="0" w:space="0" w:color="auto"/>
      </w:divBdr>
      <w:divsChild>
        <w:div w:id="1685277943">
          <w:marLeft w:val="0"/>
          <w:marRight w:val="0"/>
          <w:marTop w:val="0"/>
          <w:marBottom w:val="75"/>
          <w:divBdr>
            <w:top w:val="single" w:sz="6" w:space="0" w:color="EEEEEE"/>
            <w:left w:val="single" w:sz="6" w:space="0" w:color="EEEEEE"/>
            <w:bottom w:val="single" w:sz="6" w:space="0" w:color="CCCCCC"/>
            <w:right w:val="single" w:sz="6" w:space="0" w:color="CCCCCC"/>
          </w:divBdr>
          <w:divsChild>
            <w:div w:id="1288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525">
      <w:bodyDiv w:val="1"/>
      <w:marLeft w:val="0"/>
      <w:marRight w:val="0"/>
      <w:marTop w:val="0"/>
      <w:marBottom w:val="0"/>
      <w:divBdr>
        <w:top w:val="none" w:sz="0" w:space="0" w:color="auto"/>
        <w:left w:val="none" w:sz="0" w:space="0" w:color="auto"/>
        <w:bottom w:val="none" w:sz="0" w:space="0" w:color="auto"/>
        <w:right w:val="none" w:sz="0" w:space="0" w:color="auto"/>
      </w:divBdr>
    </w:div>
    <w:div w:id="957375458">
      <w:bodyDiv w:val="1"/>
      <w:marLeft w:val="0"/>
      <w:marRight w:val="0"/>
      <w:marTop w:val="0"/>
      <w:marBottom w:val="0"/>
      <w:divBdr>
        <w:top w:val="none" w:sz="0" w:space="0" w:color="auto"/>
        <w:left w:val="none" w:sz="0" w:space="0" w:color="auto"/>
        <w:bottom w:val="none" w:sz="0" w:space="0" w:color="auto"/>
        <w:right w:val="none" w:sz="0" w:space="0" w:color="auto"/>
      </w:divBdr>
    </w:div>
    <w:div w:id="959804407">
      <w:bodyDiv w:val="1"/>
      <w:marLeft w:val="0"/>
      <w:marRight w:val="0"/>
      <w:marTop w:val="0"/>
      <w:marBottom w:val="0"/>
      <w:divBdr>
        <w:top w:val="none" w:sz="0" w:space="0" w:color="auto"/>
        <w:left w:val="none" w:sz="0" w:space="0" w:color="auto"/>
        <w:bottom w:val="none" w:sz="0" w:space="0" w:color="auto"/>
        <w:right w:val="none" w:sz="0" w:space="0" w:color="auto"/>
      </w:divBdr>
    </w:div>
    <w:div w:id="983896493">
      <w:bodyDiv w:val="1"/>
      <w:marLeft w:val="0"/>
      <w:marRight w:val="0"/>
      <w:marTop w:val="0"/>
      <w:marBottom w:val="0"/>
      <w:divBdr>
        <w:top w:val="none" w:sz="0" w:space="0" w:color="auto"/>
        <w:left w:val="none" w:sz="0" w:space="0" w:color="auto"/>
        <w:bottom w:val="none" w:sz="0" w:space="0" w:color="auto"/>
        <w:right w:val="none" w:sz="0" w:space="0" w:color="auto"/>
      </w:divBdr>
    </w:div>
    <w:div w:id="1021276874">
      <w:bodyDiv w:val="1"/>
      <w:marLeft w:val="0"/>
      <w:marRight w:val="0"/>
      <w:marTop w:val="0"/>
      <w:marBottom w:val="0"/>
      <w:divBdr>
        <w:top w:val="none" w:sz="0" w:space="0" w:color="auto"/>
        <w:left w:val="none" w:sz="0" w:space="0" w:color="auto"/>
        <w:bottom w:val="none" w:sz="0" w:space="0" w:color="auto"/>
        <w:right w:val="none" w:sz="0" w:space="0" w:color="auto"/>
      </w:divBdr>
      <w:divsChild>
        <w:div w:id="1666979317">
          <w:marLeft w:val="1166"/>
          <w:marRight w:val="0"/>
          <w:marTop w:val="96"/>
          <w:marBottom w:val="0"/>
          <w:divBdr>
            <w:top w:val="none" w:sz="0" w:space="0" w:color="auto"/>
            <w:left w:val="none" w:sz="0" w:space="0" w:color="auto"/>
            <w:bottom w:val="none" w:sz="0" w:space="0" w:color="auto"/>
            <w:right w:val="none" w:sz="0" w:space="0" w:color="auto"/>
          </w:divBdr>
        </w:div>
        <w:div w:id="746222545">
          <w:marLeft w:val="1166"/>
          <w:marRight w:val="0"/>
          <w:marTop w:val="96"/>
          <w:marBottom w:val="0"/>
          <w:divBdr>
            <w:top w:val="none" w:sz="0" w:space="0" w:color="auto"/>
            <w:left w:val="none" w:sz="0" w:space="0" w:color="auto"/>
            <w:bottom w:val="none" w:sz="0" w:space="0" w:color="auto"/>
            <w:right w:val="none" w:sz="0" w:space="0" w:color="auto"/>
          </w:divBdr>
        </w:div>
      </w:divsChild>
    </w:div>
    <w:div w:id="1248151839">
      <w:bodyDiv w:val="1"/>
      <w:marLeft w:val="0"/>
      <w:marRight w:val="0"/>
      <w:marTop w:val="0"/>
      <w:marBottom w:val="0"/>
      <w:divBdr>
        <w:top w:val="none" w:sz="0" w:space="0" w:color="auto"/>
        <w:left w:val="none" w:sz="0" w:space="0" w:color="auto"/>
        <w:bottom w:val="none" w:sz="0" w:space="0" w:color="auto"/>
        <w:right w:val="none" w:sz="0" w:space="0" w:color="auto"/>
      </w:divBdr>
    </w:div>
    <w:div w:id="1306623106">
      <w:bodyDiv w:val="1"/>
      <w:marLeft w:val="0"/>
      <w:marRight w:val="0"/>
      <w:marTop w:val="0"/>
      <w:marBottom w:val="0"/>
      <w:divBdr>
        <w:top w:val="none" w:sz="0" w:space="0" w:color="auto"/>
        <w:left w:val="none" w:sz="0" w:space="0" w:color="auto"/>
        <w:bottom w:val="none" w:sz="0" w:space="0" w:color="auto"/>
        <w:right w:val="none" w:sz="0" w:space="0" w:color="auto"/>
      </w:divBdr>
    </w:div>
    <w:div w:id="1419208584">
      <w:bodyDiv w:val="1"/>
      <w:marLeft w:val="0"/>
      <w:marRight w:val="0"/>
      <w:marTop w:val="0"/>
      <w:marBottom w:val="0"/>
      <w:divBdr>
        <w:top w:val="none" w:sz="0" w:space="0" w:color="auto"/>
        <w:left w:val="none" w:sz="0" w:space="0" w:color="auto"/>
        <w:bottom w:val="none" w:sz="0" w:space="0" w:color="auto"/>
        <w:right w:val="none" w:sz="0" w:space="0" w:color="auto"/>
      </w:divBdr>
    </w:div>
    <w:div w:id="1440295278">
      <w:bodyDiv w:val="1"/>
      <w:marLeft w:val="0"/>
      <w:marRight w:val="0"/>
      <w:marTop w:val="0"/>
      <w:marBottom w:val="0"/>
      <w:divBdr>
        <w:top w:val="none" w:sz="0" w:space="0" w:color="auto"/>
        <w:left w:val="none" w:sz="0" w:space="0" w:color="auto"/>
        <w:bottom w:val="none" w:sz="0" w:space="0" w:color="auto"/>
        <w:right w:val="none" w:sz="0" w:space="0" w:color="auto"/>
      </w:divBdr>
      <w:divsChild>
        <w:div w:id="2036691595">
          <w:marLeft w:val="504"/>
          <w:marRight w:val="0"/>
          <w:marTop w:val="115"/>
          <w:marBottom w:val="0"/>
          <w:divBdr>
            <w:top w:val="none" w:sz="0" w:space="0" w:color="auto"/>
            <w:left w:val="none" w:sz="0" w:space="0" w:color="auto"/>
            <w:bottom w:val="none" w:sz="0" w:space="0" w:color="auto"/>
            <w:right w:val="none" w:sz="0" w:space="0" w:color="auto"/>
          </w:divBdr>
        </w:div>
        <w:div w:id="416755050">
          <w:marLeft w:val="504"/>
          <w:marRight w:val="0"/>
          <w:marTop w:val="115"/>
          <w:marBottom w:val="0"/>
          <w:divBdr>
            <w:top w:val="none" w:sz="0" w:space="0" w:color="auto"/>
            <w:left w:val="none" w:sz="0" w:space="0" w:color="auto"/>
            <w:bottom w:val="none" w:sz="0" w:space="0" w:color="auto"/>
            <w:right w:val="none" w:sz="0" w:space="0" w:color="auto"/>
          </w:divBdr>
        </w:div>
        <w:div w:id="1911184845">
          <w:marLeft w:val="1080"/>
          <w:marRight w:val="0"/>
          <w:marTop w:val="86"/>
          <w:marBottom w:val="0"/>
          <w:divBdr>
            <w:top w:val="none" w:sz="0" w:space="0" w:color="auto"/>
            <w:left w:val="none" w:sz="0" w:space="0" w:color="auto"/>
            <w:bottom w:val="none" w:sz="0" w:space="0" w:color="auto"/>
            <w:right w:val="none" w:sz="0" w:space="0" w:color="auto"/>
          </w:divBdr>
        </w:div>
        <w:div w:id="475298355">
          <w:marLeft w:val="1080"/>
          <w:marRight w:val="0"/>
          <w:marTop w:val="86"/>
          <w:marBottom w:val="0"/>
          <w:divBdr>
            <w:top w:val="none" w:sz="0" w:space="0" w:color="auto"/>
            <w:left w:val="none" w:sz="0" w:space="0" w:color="auto"/>
            <w:bottom w:val="none" w:sz="0" w:space="0" w:color="auto"/>
            <w:right w:val="none" w:sz="0" w:space="0" w:color="auto"/>
          </w:divBdr>
        </w:div>
        <w:div w:id="957830712">
          <w:marLeft w:val="1080"/>
          <w:marRight w:val="0"/>
          <w:marTop w:val="86"/>
          <w:marBottom w:val="0"/>
          <w:divBdr>
            <w:top w:val="none" w:sz="0" w:space="0" w:color="auto"/>
            <w:left w:val="none" w:sz="0" w:space="0" w:color="auto"/>
            <w:bottom w:val="none" w:sz="0" w:space="0" w:color="auto"/>
            <w:right w:val="none" w:sz="0" w:space="0" w:color="auto"/>
          </w:divBdr>
        </w:div>
        <w:div w:id="1447701935">
          <w:marLeft w:val="1080"/>
          <w:marRight w:val="0"/>
          <w:marTop w:val="86"/>
          <w:marBottom w:val="0"/>
          <w:divBdr>
            <w:top w:val="none" w:sz="0" w:space="0" w:color="auto"/>
            <w:left w:val="none" w:sz="0" w:space="0" w:color="auto"/>
            <w:bottom w:val="none" w:sz="0" w:space="0" w:color="auto"/>
            <w:right w:val="none" w:sz="0" w:space="0" w:color="auto"/>
          </w:divBdr>
        </w:div>
        <w:div w:id="151917682">
          <w:marLeft w:val="504"/>
          <w:marRight w:val="0"/>
          <w:marTop w:val="115"/>
          <w:marBottom w:val="0"/>
          <w:divBdr>
            <w:top w:val="none" w:sz="0" w:space="0" w:color="auto"/>
            <w:left w:val="none" w:sz="0" w:space="0" w:color="auto"/>
            <w:bottom w:val="none" w:sz="0" w:space="0" w:color="auto"/>
            <w:right w:val="none" w:sz="0" w:space="0" w:color="auto"/>
          </w:divBdr>
        </w:div>
      </w:divsChild>
    </w:div>
    <w:div w:id="1469202742">
      <w:bodyDiv w:val="1"/>
      <w:marLeft w:val="0"/>
      <w:marRight w:val="0"/>
      <w:marTop w:val="0"/>
      <w:marBottom w:val="0"/>
      <w:divBdr>
        <w:top w:val="none" w:sz="0" w:space="0" w:color="auto"/>
        <w:left w:val="none" w:sz="0" w:space="0" w:color="auto"/>
        <w:bottom w:val="none" w:sz="0" w:space="0" w:color="auto"/>
        <w:right w:val="none" w:sz="0" w:space="0" w:color="auto"/>
      </w:divBdr>
    </w:div>
    <w:div w:id="1488548375">
      <w:bodyDiv w:val="1"/>
      <w:marLeft w:val="0"/>
      <w:marRight w:val="0"/>
      <w:marTop w:val="0"/>
      <w:marBottom w:val="0"/>
      <w:divBdr>
        <w:top w:val="none" w:sz="0" w:space="0" w:color="auto"/>
        <w:left w:val="none" w:sz="0" w:space="0" w:color="auto"/>
        <w:bottom w:val="none" w:sz="0" w:space="0" w:color="auto"/>
        <w:right w:val="none" w:sz="0" w:space="0" w:color="auto"/>
      </w:divBdr>
    </w:div>
    <w:div w:id="1532306467">
      <w:bodyDiv w:val="1"/>
      <w:marLeft w:val="0"/>
      <w:marRight w:val="0"/>
      <w:marTop w:val="0"/>
      <w:marBottom w:val="0"/>
      <w:divBdr>
        <w:top w:val="none" w:sz="0" w:space="0" w:color="auto"/>
        <w:left w:val="none" w:sz="0" w:space="0" w:color="auto"/>
        <w:bottom w:val="none" w:sz="0" w:space="0" w:color="auto"/>
        <w:right w:val="none" w:sz="0" w:space="0" w:color="auto"/>
      </w:divBdr>
      <w:divsChild>
        <w:div w:id="1212688015">
          <w:marLeft w:val="504"/>
          <w:marRight w:val="0"/>
          <w:marTop w:val="115"/>
          <w:marBottom w:val="0"/>
          <w:divBdr>
            <w:top w:val="none" w:sz="0" w:space="0" w:color="auto"/>
            <w:left w:val="none" w:sz="0" w:space="0" w:color="auto"/>
            <w:bottom w:val="none" w:sz="0" w:space="0" w:color="auto"/>
            <w:right w:val="none" w:sz="0" w:space="0" w:color="auto"/>
          </w:divBdr>
        </w:div>
        <w:div w:id="1043672780">
          <w:marLeft w:val="504"/>
          <w:marRight w:val="0"/>
          <w:marTop w:val="115"/>
          <w:marBottom w:val="0"/>
          <w:divBdr>
            <w:top w:val="none" w:sz="0" w:space="0" w:color="auto"/>
            <w:left w:val="none" w:sz="0" w:space="0" w:color="auto"/>
            <w:bottom w:val="none" w:sz="0" w:space="0" w:color="auto"/>
            <w:right w:val="none" w:sz="0" w:space="0" w:color="auto"/>
          </w:divBdr>
        </w:div>
        <w:div w:id="15429623">
          <w:marLeft w:val="1080"/>
          <w:marRight w:val="0"/>
          <w:marTop w:val="86"/>
          <w:marBottom w:val="0"/>
          <w:divBdr>
            <w:top w:val="none" w:sz="0" w:space="0" w:color="auto"/>
            <w:left w:val="none" w:sz="0" w:space="0" w:color="auto"/>
            <w:bottom w:val="none" w:sz="0" w:space="0" w:color="auto"/>
            <w:right w:val="none" w:sz="0" w:space="0" w:color="auto"/>
          </w:divBdr>
        </w:div>
        <w:div w:id="1971397165">
          <w:marLeft w:val="1080"/>
          <w:marRight w:val="0"/>
          <w:marTop w:val="86"/>
          <w:marBottom w:val="0"/>
          <w:divBdr>
            <w:top w:val="none" w:sz="0" w:space="0" w:color="auto"/>
            <w:left w:val="none" w:sz="0" w:space="0" w:color="auto"/>
            <w:bottom w:val="none" w:sz="0" w:space="0" w:color="auto"/>
            <w:right w:val="none" w:sz="0" w:space="0" w:color="auto"/>
          </w:divBdr>
        </w:div>
        <w:div w:id="1189955331">
          <w:marLeft w:val="1080"/>
          <w:marRight w:val="0"/>
          <w:marTop w:val="86"/>
          <w:marBottom w:val="0"/>
          <w:divBdr>
            <w:top w:val="none" w:sz="0" w:space="0" w:color="auto"/>
            <w:left w:val="none" w:sz="0" w:space="0" w:color="auto"/>
            <w:bottom w:val="none" w:sz="0" w:space="0" w:color="auto"/>
            <w:right w:val="none" w:sz="0" w:space="0" w:color="auto"/>
          </w:divBdr>
        </w:div>
      </w:divsChild>
    </w:div>
    <w:div w:id="1605647728">
      <w:bodyDiv w:val="1"/>
      <w:marLeft w:val="300"/>
      <w:marRight w:val="300"/>
      <w:marTop w:val="300"/>
      <w:marBottom w:val="300"/>
      <w:divBdr>
        <w:top w:val="none" w:sz="0" w:space="0" w:color="auto"/>
        <w:left w:val="none" w:sz="0" w:space="0" w:color="auto"/>
        <w:bottom w:val="none" w:sz="0" w:space="0" w:color="auto"/>
        <w:right w:val="none" w:sz="0" w:space="0" w:color="auto"/>
      </w:divBdr>
    </w:div>
    <w:div w:id="1649242294">
      <w:bodyDiv w:val="1"/>
      <w:marLeft w:val="0"/>
      <w:marRight w:val="0"/>
      <w:marTop w:val="0"/>
      <w:marBottom w:val="0"/>
      <w:divBdr>
        <w:top w:val="none" w:sz="0" w:space="0" w:color="auto"/>
        <w:left w:val="none" w:sz="0" w:space="0" w:color="auto"/>
        <w:bottom w:val="none" w:sz="0" w:space="0" w:color="auto"/>
        <w:right w:val="none" w:sz="0" w:space="0" w:color="auto"/>
      </w:divBdr>
    </w:div>
    <w:div w:id="1763336442">
      <w:bodyDiv w:val="1"/>
      <w:marLeft w:val="0"/>
      <w:marRight w:val="0"/>
      <w:marTop w:val="0"/>
      <w:marBottom w:val="0"/>
      <w:divBdr>
        <w:top w:val="none" w:sz="0" w:space="0" w:color="auto"/>
        <w:left w:val="none" w:sz="0" w:space="0" w:color="auto"/>
        <w:bottom w:val="none" w:sz="0" w:space="0" w:color="auto"/>
        <w:right w:val="none" w:sz="0" w:space="0" w:color="auto"/>
      </w:divBdr>
      <w:divsChild>
        <w:div w:id="1175925992">
          <w:marLeft w:val="1166"/>
          <w:marRight w:val="0"/>
          <w:marTop w:val="96"/>
          <w:marBottom w:val="0"/>
          <w:divBdr>
            <w:top w:val="none" w:sz="0" w:space="0" w:color="auto"/>
            <w:left w:val="none" w:sz="0" w:space="0" w:color="auto"/>
            <w:bottom w:val="none" w:sz="0" w:space="0" w:color="auto"/>
            <w:right w:val="none" w:sz="0" w:space="0" w:color="auto"/>
          </w:divBdr>
        </w:div>
        <w:div w:id="963080112">
          <w:marLeft w:val="1166"/>
          <w:marRight w:val="0"/>
          <w:marTop w:val="96"/>
          <w:marBottom w:val="0"/>
          <w:divBdr>
            <w:top w:val="none" w:sz="0" w:space="0" w:color="auto"/>
            <w:left w:val="none" w:sz="0" w:space="0" w:color="auto"/>
            <w:bottom w:val="none" w:sz="0" w:space="0" w:color="auto"/>
            <w:right w:val="none" w:sz="0" w:space="0" w:color="auto"/>
          </w:divBdr>
        </w:div>
        <w:div w:id="1872574313">
          <w:marLeft w:val="1166"/>
          <w:marRight w:val="0"/>
          <w:marTop w:val="96"/>
          <w:marBottom w:val="0"/>
          <w:divBdr>
            <w:top w:val="none" w:sz="0" w:space="0" w:color="auto"/>
            <w:left w:val="none" w:sz="0" w:space="0" w:color="auto"/>
            <w:bottom w:val="none" w:sz="0" w:space="0" w:color="auto"/>
            <w:right w:val="none" w:sz="0" w:space="0" w:color="auto"/>
          </w:divBdr>
        </w:div>
        <w:div w:id="897327834">
          <w:marLeft w:val="1166"/>
          <w:marRight w:val="0"/>
          <w:marTop w:val="96"/>
          <w:marBottom w:val="0"/>
          <w:divBdr>
            <w:top w:val="none" w:sz="0" w:space="0" w:color="auto"/>
            <w:left w:val="none" w:sz="0" w:space="0" w:color="auto"/>
            <w:bottom w:val="none" w:sz="0" w:space="0" w:color="auto"/>
            <w:right w:val="none" w:sz="0" w:space="0" w:color="auto"/>
          </w:divBdr>
        </w:div>
        <w:div w:id="1589265760">
          <w:marLeft w:val="1166"/>
          <w:marRight w:val="0"/>
          <w:marTop w:val="96"/>
          <w:marBottom w:val="0"/>
          <w:divBdr>
            <w:top w:val="none" w:sz="0" w:space="0" w:color="auto"/>
            <w:left w:val="none" w:sz="0" w:space="0" w:color="auto"/>
            <w:bottom w:val="none" w:sz="0" w:space="0" w:color="auto"/>
            <w:right w:val="none" w:sz="0" w:space="0" w:color="auto"/>
          </w:divBdr>
        </w:div>
        <w:div w:id="308246676">
          <w:marLeft w:val="1166"/>
          <w:marRight w:val="0"/>
          <w:marTop w:val="96"/>
          <w:marBottom w:val="0"/>
          <w:divBdr>
            <w:top w:val="none" w:sz="0" w:space="0" w:color="auto"/>
            <w:left w:val="none" w:sz="0" w:space="0" w:color="auto"/>
            <w:bottom w:val="none" w:sz="0" w:space="0" w:color="auto"/>
            <w:right w:val="none" w:sz="0" w:space="0" w:color="auto"/>
          </w:divBdr>
        </w:div>
      </w:divsChild>
    </w:div>
    <w:div w:id="1803618276">
      <w:bodyDiv w:val="1"/>
      <w:marLeft w:val="0"/>
      <w:marRight w:val="0"/>
      <w:marTop w:val="0"/>
      <w:marBottom w:val="0"/>
      <w:divBdr>
        <w:top w:val="none" w:sz="0" w:space="0" w:color="auto"/>
        <w:left w:val="none" w:sz="0" w:space="0" w:color="auto"/>
        <w:bottom w:val="none" w:sz="0" w:space="0" w:color="auto"/>
        <w:right w:val="none" w:sz="0" w:space="0" w:color="auto"/>
      </w:divBdr>
    </w:div>
    <w:div w:id="1884051715">
      <w:bodyDiv w:val="1"/>
      <w:marLeft w:val="300"/>
      <w:marRight w:val="300"/>
      <w:marTop w:val="300"/>
      <w:marBottom w:val="300"/>
      <w:divBdr>
        <w:top w:val="none" w:sz="0" w:space="0" w:color="auto"/>
        <w:left w:val="none" w:sz="0" w:space="0" w:color="auto"/>
        <w:bottom w:val="none" w:sz="0" w:space="0" w:color="auto"/>
        <w:right w:val="none" w:sz="0" w:space="0" w:color="auto"/>
      </w:divBdr>
    </w:div>
    <w:div w:id="19764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eg.com/elements/pdf/IAEG_Declaration_Development_Support_Document_v2.0.pdf" TargetMode="External"/><Relationship Id="rId18" Type="http://schemas.openxmlformats.org/officeDocument/2006/relationships/diagramColors" Target="diagrams/colors1.xml"/><Relationship Id="rId26" Type="http://schemas.openxmlformats.org/officeDocument/2006/relationships/hyperlink" Target="https://eur-lex.europa.eu/legal-content/EN/TXT/?uri=OJ:L:2018:273:TOC" TargetMode="Externa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hyperlink" Target="https://www.asd-europe.org/sites/default/files/atoms/files/2021_0716_ASD%20Guidance%20WFD_SCIP_v1.0_published.pdf" TargetMode="External"/><Relationship Id="rId17" Type="http://schemas.openxmlformats.org/officeDocument/2006/relationships/diagramQuickStyle" Target="diagrams/quickStyle1.xml"/><Relationship Id="rId25" Type="http://schemas.openxmlformats.org/officeDocument/2006/relationships/hyperlink" Target="https://ec.europa.eu/taxation_customs/business/calculation-customs-duties/what-is-common-customs-tariff/taric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documents/10162/23036412/articles_en.pdf/cc2e3f93-8391-4944-88e4-efed5fb5112c" TargetMode="External"/><Relationship Id="rId24" Type="http://schemas.microsoft.com/office/2007/relationships/diagramDrawing" Target="diagrams/drawing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footer" Target="footer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eg.com/elements/pdf/IAEG_Declaration_Development_Support_Document_v2.0.pdf" TargetMode="External"/><Relationship Id="rId22" Type="http://schemas.openxmlformats.org/officeDocument/2006/relationships/diagramQuickStyle" Target="diagrams/quickStyle2.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88151-1F44-4A2F-A63E-83D4ECF69490}" type="doc">
      <dgm:prSet loTypeId="urn:microsoft.com/office/officeart/2005/8/layout/hierarchy6" loCatId="hierarchy" qsTypeId="urn:microsoft.com/office/officeart/2005/8/quickstyle/simple5" qsCatId="simple" csTypeId="urn:microsoft.com/office/officeart/2005/8/colors/accent0_3" csCatId="mainScheme" phldr="1"/>
      <dgm:spPr/>
      <dgm:t>
        <a:bodyPr/>
        <a:lstStyle/>
        <a:p>
          <a:endParaRPr lang="en-CA"/>
        </a:p>
      </dgm:t>
    </dgm:pt>
    <dgm:pt modelId="{6F9B3EFC-DFCD-45E6-89F3-C66FC3623F5D}">
      <dgm:prSet phldrT="[Text]"/>
      <dgm:spPr/>
      <dgm:t>
        <a:bodyPr/>
        <a:lstStyle/>
        <a:p>
          <a:r>
            <a:rPr lang="en-US" dirty="0"/>
            <a:t>Product Info (mass=100g,</a:t>
          </a:r>
        </a:p>
        <a:p>
          <a:r>
            <a:rPr lang="en-US" dirty="0" err="1"/>
            <a:t>isArticle</a:t>
          </a:r>
          <a:r>
            <a:rPr lang="en-US" dirty="0"/>
            <a:t>=True)</a:t>
          </a:r>
          <a:endParaRPr lang="en-CA" dirty="0"/>
        </a:p>
      </dgm:t>
    </dgm:pt>
    <dgm:pt modelId="{F0AB126D-70BB-4DD8-B658-147C6BBAF19C}" type="parTrans" cxnId="{5342E0B8-F9DC-45F8-AB8B-7FD2D1EF1F9C}">
      <dgm:prSet/>
      <dgm:spPr/>
      <dgm:t>
        <a:bodyPr/>
        <a:lstStyle/>
        <a:p>
          <a:endParaRPr lang="en-CA"/>
        </a:p>
      </dgm:t>
    </dgm:pt>
    <dgm:pt modelId="{13F1F6D6-D137-49A0-972F-6F547A8EAE43}" type="sibTrans" cxnId="{5342E0B8-F9DC-45F8-AB8B-7FD2D1EF1F9C}">
      <dgm:prSet/>
      <dgm:spPr/>
      <dgm:t>
        <a:bodyPr/>
        <a:lstStyle/>
        <a:p>
          <a:endParaRPr lang="en-CA"/>
        </a:p>
      </dgm:t>
    </dgm:pt>
    <dgm:pt modelId="{BFFE9E32-55E2-4AA4-B76E-04484CCE2226}">
      <dgm:prSet phldrT="[Text]"/>
      <dgm:spPr/>
      <dgm:t>
        <a:bodyPr/>
        <a:lstStyle/>
        <a:p>
          <a:r>
            <a:rPr lang="en-US" dirty="0"/>
            <a:t>M1 </a:t>
          </a:r>
        </a:p>
        <a:p>
          <a:r>
            <a:rPr lang="en-US" dirty="0"/>
            <a:t>(mass=1g,</a:t>
          </a:r>
        </a:p>
      </dgm:t>
    </dgm:pt>
    <dgm:pt modelId="{99F7E8DA-2358-4798-91D6-93997D9DBA51}" type="parTrans" cxnId="{9FB3E0E0-0542-4C3D-AFF7-2E8DB71E4DBF}">
      <dgm:prSet/>
      <dgm:spPr/>
      <dgm:t>
        <a:bodyPr/>
        <a:lstStyle/>
        <a:p>
          <a:endParaRPr lang="en-CA"/>
        </a:p>
      </dgm:t>
    </dgm:pt>
    <dgm:pt modelId="{1834DD6E-1654-4517-970E-6833CE70F946}" type="sibTrans" cxnId="{9FB3E0E0-0542-4C3D-AFF7-2E8DB71E4DBF}">
      <dgm:prSet/>
      <dgm:spPr/>
      <dgm:t>
        <a:bodyPr/>
        <a:lstStyle/>
        <a:p>
          <a:endParaRPr lang="en-CA"/>
        </a:p>
      </dgm:t>
    </dgm:pt>
    <dgm:pt modelId="{8D71FF04-4E5F-41AF-9A5C-9C2C552B8D3D}">
      <dgm:prSet phldrT="[Text]"/>
      <dgm:spPr/>
      <dgm:t>
        <a:bodyPr/>
        <a:lstStyle/>
        <a:p>
          <a:r>
            <a:rPr lang="en-US" dirty="0"/>
            <a:t>S1 </a:t>
          </a:r>
        </a:p>
        <a:p>
          <a:r>
            <a:rPr lang="en-US" dirty="0"/>
            <a:t>(mass = 0.2g)</a:t>
          </a:r>
          <a:endParaRPr lang="en-CA" dirty="0"/>
        </a:p>
      </dgm:t>
    </dgm:pt>
    <dgm:pt modelId="{5A722CF6-0228-4D26-AACC-76281F8C58C8}" type="parTrans" cxnId="{7E8FF51F-650E-4EC0-9833-D84BDD07D9AB}">
      <dgm:prSet/>
      <dgm:spPr/>
      <dgm:t>
        <a:bodyPr/>
        <a:lstStyle/>
        <a:p>
          <a:endParaRPr lang="en-CA"/>
        </a:p>
      </dgm:t>
    </dgm:pt>
    <dgm:pt modelId="{F60C0063-8254-4B84-B3EC-B251CA54F83D}" type="sibTrans" cxnId="{7E8FF51F-650E-4EC0-9833-D84BDD07D9AB}">
      <dgm:prSet/>
      <dgm:spPr/>
      <dgm:t>
        <a:bodyPr/>
        <a:lstStyle/>
        <a:p>
          <a:endParaRPr lang="en-CA"/>
        </a:p>
      </dgm:t>
    </dgm:pt>
    <dgm:pt modelId="{AD16CBD0-C4CB-4EAD-9BDA-EDF8F2E92638}">
      <dgm:prSet phldrT="[Text]"/>
      <dgm:spPr/>
      <dgm:t>
        <a:bodyPr/>
        <a:lstStyle/>
        <a:p>
          <a:r>
            <a:rPr lang="en-US" dirty="0"/>
            <a:t>P1 </a:t>
          </a:r>
        </a:p>
        <a:p>
          <a:r>
            <a:rPr lang="en-US" dirty="0"/>
            <a:t>(mass=10g,</a:t>
          </a:r>
        </a:p>
        <a:p>
          <a:r>
            <a:rPr lang="en-US" dirty="0" err="1"/>
            <a:t>isArticle</a:t>
          </a:r>
          <a:r>
            <a:rPr lang="en-US" dirty="0"/>
            <a:t>=True)</a:t>
          </a:r>
          <a:endParaRPr lang="en-CA" dirty="0"/>
        </a:p>
      </dgm:t>
    </dgm:pt>
    <dgm:pt modelId="{C7FB3CFE-E587-4F45-8290-E80941BAA55F}" type="parTrans" cxnId="{853A2034-30E3-4275-9087-576911A84077}">
      <dgm:prSet/>
      <dgm:spPr/>
      <dgm:t>
        <a:bodyPr/>
        <a:lstStyle/>
        <a:p>
          <a:endParaRPr lang="en-CA"/>
        </a:p>
      </dgm:t>
    </dgm:pt>
    <dgm:pt modelId="{DAAA8D46-6109-4154-AE32-9EC32BCD20D6}" type="sibTrans" cxnId="{853A2034-30E3-4275-9087-576911A84077}">
      <dgm:prSet/>
      <dgm:spPr/>
      <dgm:t>
        <a:bodyPr/>
        <a:lstStyle/>
        <a:p>
          <a:endParaRPr lang="en-CA"/>
        </a:p>
      </dgm:t>
    </dgm:pt>
    <dgm:pt modelId="{80EF95C9-54E9-4C03-AA35-81084C53E063}" type="pres">
      <dgm:prSet presAssocID="{ED188151-1F44-4A2F-A63E-83D4ECF69490}" presName="mainComposite" presStyleCnt="0">
        <dgm:presLayoutVars>
          <dgm:chPref val="1"/>
          <dgm:dir/>
          <dgm:animOne val="branch"/>
          <dgm:animLvl val="lvl"/>
          <dgm:resizeHandles val="exact"/>
        </dgm:presLayoutVars>
      </dgm:prSet>
      <dgm:spPr/>
    </dgm:pt>
    <dgm:pt modelId="{197C431F-1698-4B7B-9BD0-7CCC0114C0DB}" type="pres">
      <dgm:prSet presAssocID="{ED188151-1F44-4A2F-A63E-83D4ECF69490}" presName="hierFlow" presStyleCnt="0"/>
      <dgm:spPr/>
    </dgm:pt>
    <dgm:pt modelId="{52F68A2A-99E5-4026-8354-D10A9CBEF0BB}" type="pres">
      <dgm:prSet presAssocID="{ED188151-1F44-4A2F-A63E-83D4ECF69490}" presName="hierChild1" presStyleCnt="0">
        <dgm:presLayoutVars>
          <dgm:chPref val="1"/>
          <dgm:animOne val="branch"/>
          <dgm:animLvl val="lvl"/>
        </dgm:presLayoutVars>
      </dgm:prSet>
      <dgm:spPr/>
    </dgm:pt>
    <dgm:pt modelId="{E05C10D8-8CF9-4F63-805B-2E6D9F4E043F}" type="pres">
      <dgm:prSet presAssocID="{6F9B3EFC-DFCD-45E6-89F3-C66FC3623F5D}" presName="Name14" presStyleCnt="0"/>
      <dgm:spPr/>
    </dgm:pt>
    <dgm:pt modelId="{5CE06A84-6EA6-4B8F-A84C-90C812CDFF27}" type="pres">
      <dgm:prSet presAssocID="{6F9B3EFC-DFCD-45E6-89F3-C66FC3623F5D}" presName="level1Shape" presStyleLbl="node0" presStyleIdx="0" presStyleCnt="1">
        <dgm:presLayoutVars>
          <dgm:chPref val="3"/>
        </dgm:presLayoutVars>
      </dgm:prSet>
      <dgm:spPr/>
    </dgm:pt>
    <dgm:pt modelId="{F46CAAA3-1ECC-4B04-B3EF-9382DB67BA21}" type="pres">
      <dgm:prSet presAssocID="{6F9B3EFC-DFCD-45E6-89F3-C66FC3623F5D}" presName="hierChild2" presStyleCnt="0"/>
      <dgm:spPr/>
    </dgm:pt>
    <dgm:pt modelId="{3F308471-E3F4-4D01-90A0-D3AE171DDA3C}" type="pres">
      <dgm:prSet presAssocID="{C7FB3CFE-E587-4F45-8290-E80941BAA55F}" presName="Name19" presStyleLbl="parChTrans1D2" presStyleIdx="0" presStyleCnt="1"/>
      <dgm:spPr/>
    </dgm:pt>
    <dgm:pt modelId="{3C60DFEA-5685-4E7F-AD74-1AEFF9C6202D}" type="pres">
      <dgm:prSet presAssocID="{AD16CBD0-C4CB-4EAD-9BDA-EDF8F2E92638}" presName="Name21" presStyleCnt="0"/>
      <dgm:spPr/>
    </dgm:pt>
    <dgm:pt modelId="{49921758-DB0D-49E1-A7B3-91E3D0B1946A}" type="pres">
      <dgm:prSet presAssocID="{AD16CBD0-C4CB-4EAD-9BDA-EDF8F2E92638}" presName="level2Shape" presStyleLbl="node2" presStyleIdx="0" presStyleCnt="1"/>
      <dgm:spPr/>
    </dgm:pt>
    <dgm:pt modelId="{FE61AE92-F740-46DC-8804-D9A18818E90F}" type="pres">
      <dgm:prSet presAssocID="{AD16CBD0-C4CB-4EAD-9BDA-EDF8F2E92638}" presName="hierChild3" presStyleCnt="0"/>
      <dgm:spPr/>
    </dgm:pt>
    <dgm:pt modelId="{579CC6A0-041F-4CF8-A69E-FC028CB2607E}" type="pres">
      <dgm:prSet presAssocID="{99F7E8DA-2358-4798-91D6-93997D9DBA51}" presName="Name19" presStyleLbl="parChTrans1D3" presStyleIdx="0" presStyleCnt="1"/>
      <dgm:spPr/>
    </dgm:pt>
    <dgm:pt modelId="{B6BDB4D5-EA34-4EAD-A1EE-DBDA062DB8E1}" type="pres">
      <dgm:prSet presAssocID="{BFFE9E32-55E2-4AA4-B76E-04484CCE2226}" presName="Name21" presStyleCnt="0"/>
      <dgm:spPr/>
    </dgm:pt>
    <dgm:pt modelId="{CCCAA5A7-616E-477A-B839-318614A39D2E}" type="pres">
      <dgm:prSet presAssocID="{BFFE9E32-55E2-4AA4-B76E-04484CCE2226}" presName="level2Shape" presStyleLbl="node3" presStyleIdx="0" presStyleCnt="1"/>
      <dgm:spPr/>
    </dgm:pt>
    <dgm:pt modelId="{823A4B09-0017-49C8-942E-0E6D22F76EB0}" type="pres">
      <dgm:prSet presAssocID="{BFFE9E32-55E2-4AA4-B76E-04484CCE2226}" presName="hierChild3" presStyleCnt="0"/>
      <dgm:spPr/>
    </dgm:pt>
    <dgm:pt modelId="{0A0F687D-0845-4F6E-859F-F5D1D3EB10D9}" type="pres">
      <dgm:prSet presAssocID="{5A722CF6-0228-4D26-AACC-76281F8C58C8}" presName="Name19" presStyleLbl="parChTrans1D4" presStyleIdx="0" presStyleCnt="1"/>
      <dgm:spPr/>
    </dgm:pt>
    <dgm:pt modelId="{71763986-A072-4521-BCBF-266CDDE38D81}" type="pres">
      <dgm:prSet presAssocID="{8D71FF04-4E5F-41AF-9A5C-9C2C552B8D3D}" presName="Name21" presStyleCnt="0"/>
      <dgm:spPr/>
    </dgm:pt>
    <dgm:pt modelId="{B8ED5E04-6B1E-4F5F-ABE2-BA2D14DB8E3A}" type="pres">
      <dgm:prSet presAssocID="{8D71FF04-4E5F-41AF-9A5C-9C2C552B8D3D}" presName="level2Shape" presStyleLbl="node4" presStyleIdx="0" presStyleCnt="1"/>
      <dgm:spPr/>
    </dgm:pt>
    <dgm:pt modelId="{139223EE-049C-4CA6-A26C-3EDEA0DF6378}" type="pres">
      <dgm:prSet presAssocID="{8D71FF04-4E5F-41AF-9A5C-9C2C552B8D3D}" presName="hierChild3" presStyleCnt="0"/>
      <dgm:spPr/>
    </dgm:pt>
    <dgm:pt modelId="{C6928538-3A29-49A0-9C2A-560FDFBBCD8D}" type="pres">
      <dgm:prSet presAssocID="{ED188151-1F44-4A2F-A63E-83D4ECF69490}" presName="bgShapesFlow" presStyleCnt="0"/>
      <dgm:spPr/>
    </dgm:pt>
  </dgm:ptLst>
  <dgm:cxnLst>
    <dgm:cxn modelId="{7E8FF51F-650E-4EC0-9833-D84BDD07D9AB}" srcId="{BFFE9E32-55E2-4AA4-B76E-04484CCE2226}" destId="{8D71FF04-4E5F-41AF-9A5C-9C2C552B8D3D}" srcOrd="0" destOrd="0" parTransId="{5A722CF6-0228-4D26-AACC-76281F8C58C8}" sibTransId="{F60C0063-8254-4B84-B3EC-B251CA54F83D}"/>
    <dgm:cxn modelId="{03562E2C-2360-405D-AC03-055B70DF8BF8}" type="presOf" srcId="{99F7E8DA-2358-4798-91D6-93997D9DBA51}" destId="{579CC6A0-041F-4CF8-A69E-FC028CB2607E}" srcOrd="0" destOrd="0" presId="urn:microsoft.com/office/officeart/2005/8/layout/hierarchy6"/>
    <dgm:cxn modelId="{7DF0972F-50BA-4720-AAB0-5360BDD2508B}" type="presOf" srcId="{ED188151-1F44-4A2F-A63E-83D4ECF69490}" destId="{80EF95C9-54E9-4C03-AA35-81084C53E063}" srcOrd="0" destOrd="0" presId="urn:microsoft.com/office/officeart/2005/8/layout/hierarchy6"/>
    <dgm:cxn modelId="{B2D3D42F-6025-4C86-8EB0-D6E634A6C75C}" type="presOf" srcId="{AD16CBD0-C4CB-4EAD-9BDA-EDF8F2E92638}" destId="{49921758-DB0D-49E1-A7B3-91E3D0B1946A}" srcOrd="0" destOrd="0" presId="urn:microsoft.com/office/officeart/2005/8/layout/hierarchy6"/>
    <dgm:cxn modelId="{853A2034-30E3-4275-9087-576911A84077}" srcId="{6F9B3EFC-DFCD-45E6-89F3-C66FC3623F5D}" destId="{AD16CBD0-C4CB-4EAD-9BDA-EDF8F2E92638}" srcOrd="0" destOrd="0" parTransId="{C7FB3CFE-E587-4F45-8290-E80941BAA55F}" sibTransId="{DAAA8D46-6109-4154-AE32-9EC32BCD20D6}"/>
    <dgm:cxn modelId="{81480E63-9C03-4636-ABD7-332B7950DC6E}" type="presOf" srcId="{BFFE9E32-55E2-4AA4-B76E-04484CCE2226}" destId="{CCCAA5A7-616E-477A-B839-318614A39D2E}" srcOrd="0" destOrd="0" presId="urn:microsoft.com/office/officeart/2005/8/layout/hierarchy6"/>
    <dgm:cxn modelId="{AD62628F-1FB7-47CC-B1E6-6A26E1C7CCC7}" type="presOf" srcId="{C7FB3CFE-E587-4F45-8290-E80941BAA55F}" destId="{3F308471-E3F4-4D01-90A0-D3AE171DDA3C}" srcOrd="0" destOrd="0" presId="urn:microsoft.com/office/officeart/2005/8/layout/hierarchy6"/>
    <dgm:cxn modelId="{5342E0B8-F9DC-45F8-AB8B-7FD2D1EF1F9C}" srcId="{ED188151-1F44-4A2F-A63E-83D4ECF69490}" destId="{6F9B3EFC-DFCD-45E6-89F3-C66FC3623F5D}" srcOrd="0" destOrd="0" parTransId="{F0AB126D-70BB-4DD8-B658-147C6BBAF19C}" sibTransId="{13F1F6D6-D137-49A0-972F-6F547A8EAE43}"/>
    <dgm:cxn modelId="{9FD541CF-2D91-44EC-9236-AE3FB650A91E}" type="presOf" srcId="{6F9B3EFC-DFCD-45E6-89F3-C66FC3623F5D}" destId="{5CE06A84-6EA6-4B8F-A84C-90C812CDFF27}" srcOrd="0" destOrd="0" presId="urn:microsoft.com/office/officeart/2005/8/layout/hierarchy6"/>
    <dgm:cxn modelId="{ED541FD1-E305-4DF1-AC93-FDA79824A622}" type="presOf" srcId="{8D71FF04-4E5F-41AF-9A5C-9C2C552B8D3D}" destId="{B8ED5E04-6B1E-4F5F-ABE2-BA2D14DB8E3A}" srcOrd="0" destOrd="0" presId="urn:microsoft.com/office/officeart/2005/8/layout/hierarchy6"/>
    <dgm:cxn modelId="{9FB3E0E0-0542-4C3D-AFF7-2E8DB71E4DBF}" srcId="{AD16CBD0-C4CB-4EAD-9BDA-EDF8F2E92638}" destId="{BFFE9E32-55E2-4AA4-B76E-04484CCE2226}" srcOrd="0" destOrd="0" parTransId="{99F7E8DA-2358-4798-91D6-93997D9DBA51}" sibTransId="{1834DD6E-1654-4517-970E-6833CE70F946}"/>
    <dgm:cxn modelId="{EF43CFEC-DB87-4DEF-B479-1BACAEC65960}" type="presOf" srcId="{5A722CF6-0228-4D26-AACC-76281F8C58C8}" destId="{0A0F687D-0845-4F6E-859F-F5D1D3EB10D9}" srcOrd="0" destOrd="0" presId="urn:microsoft.com/office/officeart/2005/8/layout/hierarchy6"/>
    <dgm:cxn modelId="{F15795E6-D1B6-4594-8AAA-553B37B55FE0}" type="presParOf" srcId="{80EF95C9-54E9-4C03-AA35-81084C53E063}" destId="{197C431F-1698-4B7B-9BD0-7CCC0114C0DB}" srcOrd="0" destOrd="0" presId="urn:microsoft.com/office/officeart/2005/8/layout/hierarchy6"/>
    <dgm:cxn modelId="{A1D234FD-7502-4D2D-9482-7AF1A3835E58}" type="presParOf" srcId="{197C431F-1698-4B7B-9BD0-7CCC0114C0DB}" destId="{52F68A2A-99E5-4026-8354-D10A9CBEF0BB}" srcOrd="0" destOrd="0" presId="urn:microsoft.com/office/officeart/2005/8/layout/hierarchy6"/>
    <dgm:cxn modelId="{7F3A6A74-8834-44F5-89CB-4A8F2456A756}" type="presParOf" srcId="{52F68A2A-99E5-4026-8354-D10A9CBEF0BB}" destId="{E05C10D8-8CF9-4F63-805B-2E6D9F4E043F}" srcOrd="0" destOrd="0" presId="urn:microsoft.com/office/officeart/2005/8/layout/hierarchy6"/>
    <dgm:cxn modelId="{54F3B914-3F7B-4A47-BF33-8F0379E42476}" type="presParOf" srcId="{E05C10D8-8CF9-4F63-805B-2E6D9F4E043F}" destId="{5CE06A84-6EA6-4B8F-A84C-90C812CDFF27}" srcOrd="0" destOrd="0" presId="urn:microsoft.com/office/officeart/2005/8/layout/hierarchy6"/>
    <dgm:cxn modelId="{9BE79652-AB89-4ED1-9CE6-CC17E6CA5ADD}" type="presParOf" srcId="{E05C10D8-8CF9-4F63-805B-2E6D9F4E043F}" destId="{F46CAAA3-1ECC-4B04-B3EF-9382DB67BA21}" srcOrd="1" destOrd="0" presId="urn:microsoft.com/office/officeart/2005/8/layout/hierarchy6"/>
    <dgm:cxn modelId="{BE26C47A-7388-49C4-BF64-A28A04B90DC2}" type="presParOf" srcId="{F46CAAA3-1ECC-4B04-B3EF-9382DB67BA21}" destId="{3F308471-E3F4-4D01-90A0-D3AE171DDA3C}" srcOrd="0" destOrd="0" presId="urn:microsoft.com/office/officeart/2005/8/layout/hierarchy6"/>
    <dgm:cxn modelId="{131036B7-C309-49F8-93F5-F5277041613B}" type="presParOf" srcId="{F46CAAA3-1ECC-4B04-B3EF-9382DB67BA21}" destId="{3C60DFEA-5685-4E7F-AD74-1AEFF9C6202D}" srcOrd="1" destOrd="0" presId="urn:microsoft.com/office/officeart/2005/8/layout/hierarchy6"/>
    <dgm:cxn modelId="{3CE32830-AFAC-49C6-8777-0848D7A91753}" type="presParOf" srcId="{3C60DFEA-5685-4E7F-AD74-1AEFF9C6202D}" destId="{49921758-DB0D-49E1-A7B3-91E3D0B1946A}" srcOrd="0" destOrd="0" presId="urn:microsoft.com/office/officeart/2005/8/layout/hierarchy6"/>
    <dgm:cxn modelId="{D78BD811-8E0C-4009-B6A8-70165705FED1}" type="presParOf" srcId="{3C60DFEA-5685-4E7F-AD74-1AEFF9C6202D}" destId="{FE61AE92-F740-46DC-8804-D9A18818E90F}" srcOrd="1" destOrd="0" presId="urn:microsoft.com/office/officeart/2005/8/layout/hierarchy6"/>
    <dgm:cxn modelId="{27A53705-90AD-4865-A248-081D3897A87E}" type="presParOf" srcId="{FE61AE92-F740-46DC-8804-D9A18818E90F}" destId="{579CC6A0-041F-4CF8-A69E-FC028CB2607E}" srcOrd="0" destOrd="0" presId="urn:microsoft.com/office/officeart/2005/8/layout/hierarchy6"/>
    <dgm:cxn modelId="{7213A2A7-8D40-4E00-8D12-580897B50FFB}" type="presParOf" srcId="{FE61AE92-F740-46DC-8804-D9A18818E90F}" destId="{B6BDB4D5-EA34-4EAD-A1EE-DBDA062DB8E1}" srcOrd="1" destOrd="0" presId="urn:microsoft.com/office/officeart/2005/8/layout/hierarchy6"/>
    <dgm:cxn modelId="{6EC02CBC-9E07-4B91-B17C-DE57AC139D26}" type="presParOf" srcId="{B6BDB4D5-EA34-4EAD-A1EE-DBDA062DB8E1}" destId="{CCCAA5A7-616E-477A-B839-318614A39D2E}" srcOrd="0" destOrd="0" presId="urn:microsoft.com/office/officeart/2005/8/layout/hierarchy6"/>
    <dgm:cxn modelId="{ECE37FC0-D92F-4414-BAC6-DA77D5DC4819}" type="presParOf" srcId="{B6BDB4D5-EA34-4EAD-A1EE-DBDA062DB8E1}" destId="{823A4B09-0017-49C8-942E-0E6D22F76EB0}" srcOrd="1" destOrd="0" presId="urn:microsoft.com/office/officeart/2005/8/layout/hierarchy6"/>
    <dgm:cxn modelId="{1E80E5ED-829C-47CF-8A59-B40D2055F7EB}" type="presParOf" srcId="{823A4B09-0017-49C8-942E-0E6D22F76EB0}" destId="{0A0F687D-0845-4F6E-859F-F5D1D3EB10D9}" srcOrd="0" destOrd="0" presId="urn:microsoft.com/office/officeart/2005/8/layout/hierarchy6"/>
    <dgm:cxn modelId="{E9C82E7D-B44E-4B03-B0B3-1E62E6D40FA5}" type="presParOf" srcId="{823A4B09-0017-49C8-942E-0E6D22F76EB0}" destId="{71763986-A072-4521-BCBF-266CDDE38D81}" srcOrd="1" destOrd="0" presId="urn:microsoft.com/office/officeart/2005/8/layout/hierarchy6"/>
    <dgm:cxn modelId="{73AFA217-3597-4572-BDE7-B9AF702D5E31}" type="presParOf" srcId="{71763986-A072-4521-BCBF-266CDDE38D81}" destId="{B8ED5E04-6B1E-4F5F-ABE2-BA2D14DB8E3A}" srcOrd="0" destOrd="0" presId="urn:microsoft.com/office/officeart/2005/8/layout/hierarchy6"/>
    <dgm:cxn modelId="{EAA512EE-864B-479D-9A1C-1539F7E9B88D}" type="presParOf" srcId="{71763986-A072-4521-BCBF-266CDDE38D81}" destId="{139223EE-049C-4CA6-A26C-3EDEA0DF6378}" srcOrd="1" destOrd="0" presId="urn:microsoft.com/office/officeart/2005/8/layout/hierarchy6"/>
    <dgm:cxn modelId="{0A91E720-3590-4D29-BFEF-25DC45B849DC}" type="presParOf" srcId="{80EF95C9-54E9-4C03-AA35-81084C53E063}" destId="{C6928538-3A29-49A0-9C2A-560FDFBBCD8D}"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188151-1F44-4A2F-A63E-83D4ECF69490}" type="doc">
      <dgm:prSet loTypeId="urn:microsoft.com/office/officeart/2005/8/layout/hierarchy6" loCatId="hierarchy" qsTypeId="urn:microsoft.com/office/officeart/2005/8/quickstyle/simple5" qsCatId="simple" csTypeId="urn:microsoft.com/office/officeart/2005/8/colors/accent0_3" csCatId="mainScheme" phldr="1"/>
      <dgm:spPr/>
      <dgm:t>
        <a:bodyPr/>
        <a:lstStyle/>
        <a:p>
          <a:endParaRPr lang="en-CA"/>
        </a:p>
      </dgm:t>
    </dgm:pt>
    <dgm:pt modelId="{6F9B3EFC-DFCD-45E6-89F3-C66FC3623F5D}">
      <dgm:prSet phldrT="[Text]"/>
      <dgm:spPr/>
      <dgm:t>
        <a:bodyPr/>
        <a:lstStyle/>
        <a:p>
          <a:r>
            <a:rPr lang="en-US" dirty="0"/>
            <a:t>IC </a:t>
          </a:r>
        </a:p>
        <a:p>
          <a:r>
            <a:rPr lang="en-US" dirty="0"/>
            <a:t>(</a:t>
          </a:r>
          <a:r>
            <a:rPr lang="en-US" dirty="0" err="1"/>
            <a:t>isArticle</a:t>
          </a:r>
          <a:r>
            <a:rPr lang="en-US" dirty="0"/>
            <a:t>=True)</a:t>
          </a:r>
          <a:endParaRPr lang="en-CA" dirty="0"/>
        </a:p>
      </dgm:t>
    </dgm:pt>
    <dgm:pt modelId="{F0AB126D-70BB-4DD8-B658-147C6BBAF19C}" type="parTrans" cxnId="{5342E0B8-F9DC-45F8-AB8B-7FD2D1EF1F9C}">
      <dgm:prSet/>
      <dgm:spPr/>
      <dgm:t>
        <a:bodyPr/>
        <a:lstStyle/>
        <a:p>
          <a:endParaRPr lang="en-CA"/>
        </a:p>
      </dgm:t>
    </dgm:pt>
    <dgm:pt modelId="{13F1F6D6-D137-49A0-972F-6F547A8EAE43}" type="sibTrans" cxnId="{5342E0B8-F9DC-45F8-AB8B-7FD2D1EF1F9C}">
      <dgm:prSet/>
      <dgm:spPr/>
      <dgm:t>
        <a:bodyPr/>
        <a:lstStyle/>
        <a:p>
          <a:endParaRPr lang="en-CA"/>
        </a:p>
      </dgm:t>
    </dgm:pt>
    <dgm:pt modelId="{BFFE9E32-55E2-4AA4-B76E-04484CCE2226}">
      <dgm:prSet phldrT="[Text]"/>
      <dgm:spPr/>
      <dgm:t>
        <a:bodyPr/>
        <a:lstStyle/>
        <a:p>
          <a:r>
            <a:rPr lang="en-US" dirty="0"/>
            <a:t>Plating (M1) </a:t>
          </a:r>
        </a:p>
        <a:p>
          <a:endParaRPr lang="en-CA" dirty="0"/>
        </a:p>
      </dgm:t>
    </dgm:pt>
    <dgm:pt modelId="{99F7E8DA-2358-4798-91D6-93997D9DBA51}" type="parTrans" cxnId="{9FB3E0E0-0542-4C3D-AFF7-2E8DB71E4DBF}">
      <dgm:prSet/>
      <dgm:spPr/>
      <dgm:t>
        <a:bodyPr/>
        <a:lstStyle/>
        <a:p>
          <a:endParaRPr lang="en-CA"/>
        </a:p>
      </dgm:t>
    </dgm:pt>
    <dgm:pt modelId="{1834DD6E-1654-4517-970E-6833CE70F946}" type="sibTrans" cxnId="{9FB3E0E0-0542-4C3D-AFF7-2E8DB71E4DBF}">
      <dgm:prSet/>
      <dgm:spPr/>
      <dgm:t>
        <a:bodyPr/>
        <a:lstStyle/>
        <a:p>
          <a:endParaRPr lang="en-CA"/>
        </a:p>
      </dgm:t>
    </dgm:pt>
    <dgm:pt modelId="{8D71FF04-4E5F-41AF-9A5C-9C2C552B8D3D}">
      <dgm:prSet phldrT="[Text]"/>
      <dgm:spPr/>
      <dgm:t>
        <a:bodyPr/>
        <a:lstStyle/>
        <a:p>
          <a:r>
            <a:rPr lang="en-US" dirty="0"/>
            <a:t>S1 (</a:t>
          </a:r>
          <a:r>
            <a:rPr lang="en-US"/>
            <a:t>SVHC)</a:t>
          </a:r>
          <a:endParaRPr lang="en-US" dirty="0"/>
        </a:p>
      </dgm:t>
    </dgm:pt>
    <dgm:pt modelId="{5A722CF6-0228-4D26-AACC-76281F8C58C8}" type="parTrans" cxnId="{7E8FF51F-650E-4EC0-9833-D84BDD07D9AB}">
      <dgm:prSet/>
      <dgm:spPr/>
      <dgm:t>
        <a:bodyPr/>
        <a:lstStyle/>
        <a:p>
          <a:endParaRPr lang="en-CA"/>
        </a:p>
      </dgm:t>
    </dgm:pt>
    <dgm:pt modelId="{F60C0063-8254-4B84-B3EC-B251CA54F83D}" type="sibTrans" cxnId="{7E8FF51F-650E-4EC0-9833-D84BDD07D9AB}">
      <dgm:prSet/>
      <dgm:spPr/>
      <dgm:t>
        <a:bodyPr/>
        <a:lstStyle/>
        <a:p>
          <a:endParaRPr lang="en-CA"/>
        </a:p>
      </dgm:t>
    </dgm:pt>
    <dgm:pt modelId="{AD16CBD0-C4CB-4EAD-9BDA-EDF8F2E92638}">
      <dgm:prSet phldrT="[Text]"/>
      <dgm:spPr/>
      <dgm:t>
        <a:bodyPr/>
        <a:lstStyle/>
        <a:p>
          <a:r>
            <a:rPr lang="en-US" dirty="0"/>
            <a:t>Plated Lead Frame (P2) </a:t>
          </a:r>
        </a:p>
        <a:p>
          <a:r>
            <a:rPr lang="en-US" dirty="0"/>
            <a:t>(</a:t>
          </a:r>
          <a:r>
            <a:rPr lang="en-US" dirty="0" err="1"/>
            <a:t>isArticle</a:t>
          </a:r>
          <a:r>
            <a:rPr lang="en-US" dirty="0"/>
            <a:t>=True)</a:t>
          </a:r>
          <a:endParaRPr lang="en-CA" dirty="0"/>
        </a:p>
      </dgm:t>
    </dgm:pt>
    <dgm:pt modelId="{C7FB3CFE-E587-4F45-8290-E80941BAA55F}" type="parTrans" cxnId="{853A2034-30E3-4275-9087-576911A84077}">
      <dgm:prSet/>
      <dgm:spPr/>
      <dgm:t>
        <a:bodyPr/>
        <a:lstStyle/>
        <a:p>
          <a:endParaRPr lang="en-CA"/>
        </a:p>
      </dgm:t>
    </dgm:pt>
    <dgm:pt modelId="{DAAA8D46-6109-4154-AE32-9EC32BCD20D6}" type="sibTrans" cxnId="{853A2034-30E3-4275-9087-576911A84077}">
      <dgm:prSet/>
      <dgm:spPr/>
      <dgm:t>
        <a:bodyPr/>
        <a:lstStyle/>
        <a:p>
          <a:endParaRPr lang="en-CA"/>
        </a:p>
      </dgm:t>
    </dgm:pt>
    <dgm:pt modelId="{571FE94D-9399-43C5-99EE-B1A58943C490}">
      <dgm:prSet phldrT="[Text]"/>
      <dgm:spPr/>
      <dgm:t>
        <a:bodyPr/>
        <a:lstStyle/>
        <a:p>
          <a:r>
            <a:rPr lang="en-CA" dirty="0"/>
            <a:t>Lead Frame (P1)</a:t>
          </a:r>
        </a:p>
        <a:p>
          <a:r>
            <a:rPr lang="en-CA" dirty="0"/>
            <a:t>(</a:t>
          </a:r>
          <a:r>
            <a:rPr lang="en-CA" dirty="0" err="1"/>
            <a:t>isArticle</a:t>
          </a:r>
          <a:r>
            <a:rPr lang="en-CA" dirty="0"/>
            <a:t>=True)</a:t>
          </a:r>
        </a:p>
      </dgm:t>
    </dgm:pt>
    <dgm:pt modelId="{4911F666-0919-4790-9C60-F6A1F351D60E}" type="parTrans" cxnId="{FB6C068B-9A48-42D2-AEBD-6ACCFA6016C2}">
      <dgm:prSet/>
      <dgm:spPr/>
      <dgm:t>
        <a:bodyPr/>
        <a:lstStyle/>
        <a:p>
          <a:endParaRPr lang="en-CA"/>
        </a:p>
      </dgm:t>
    </dgm:pt>
    <dgm:pt modelId="{8B42DCD2-A1A4-432B-927F-65CD4D9796E3}" type="sibTrans" cxnId="{FB6C068B-9A48-42D2-AEBD-6ACCFA6016C2}">
      <dgm:prSet/>
      <dgm:spPr/>
      <dgm:t>
        <a:bodyPr/>
        <a:lstStyle/>
        <a:p>
          <a:endParaRPr lang="en-CA"/>
        </a:p>
      </dgm:t>
    </dgm:pt>
    <dgm:pt modelId="{29A3840C-37E0-4222-93E2-2FB900FD8ED5}">
      <dgm:prSet phldrT="[Text]"/>
      <dgm:spPr/>
      <dgm:t>
        <a:bodyPr/>
        <a:lstStyle/>
        <a:p>
          <a:r>
            <a:rPr lang="en-CA" dirty="0"/>
            <a:t>Die (P3)</a:t>
          </a:r>
        </a:p>
        <a:p>
          <a:r>
            <a:rPr lang="en-CA" dirty="0"/>
            <a:t>(</a:t>
          </a:r>
          <a:r>
            <a:rPr lang="en-CA" dirty="0" err="1"/>
            <a:t>isArticle</a:t>
          </a:r>
          <a:r>
            <a:rPr lang="en-CA" dirty="0"/>
            <a:t>=True)</a:t>
          </a:r>
        </a:p>
      </dgm:t>
    </dgm:pt>
    <dgm:pt modelId="{8018B5B2-8419-4A24-A26C-F6BA14DAA49B}" type="parTrans" cxnId="{C78DD87D-54B3-434B-AF90-0AC59EAF97C1}">
      <dgm:prSet/>
      <dgm:spPr/>
      <dgm:t>
        <a:bodyPr/>
        <a:lstStyle/>
        <a:p>
          <a:endParaRPr lang="en-CA"/>
        </a:p>
      </dgm:t>
    </dgm:pt>
    <dgm:pt modelId="{5DD6F619-BA2F-471E-A02E-52E35193B6FD}" type="sibTrans" cxnId="{C78DD87D-54B3-434B-AF90-0AC59EAF97C1}">
      <dgm:prSet/>
      <dgm:spPr/>
      <dgm:t>
        <a:bodyPr/>
        <a:lstStyle/>
        <a:p>
          <a:endParaRPr lang="en-CA"/>
        </a:p>
      </dgm:t>
    </dgm:pt>
    <dgm:pt modelId="{90F08340-4FBC-4A5D-BA05-305D1817F9DA}">
      <dgm:prSet phldrT="[Text]"/>
      <dgm:spPr/>
      <dgm:t>
        <a:bodyPr/>
        <a:lstStyle/>
        <a:p>
          <a:r>
            <a:rPr lang="en-US" dirty="0"/>
            <a:t>Die Assembly </a:t>
          </a:r>
          <a:r>
            <a:rPr lang="en-US"/>
            <a:t>(P4)</a:t>
          </a:r>
          <a:endParaRPr lang="en-US" dirty="0"/>
        </a:p>
        <a:p>
          <a:r>
            <a:rPr lang="en-US" dirty="0"/>
            <a:t>(</a:t>
          </a:r>
          <a:r>
            <a:rPr lang="en-US" dirty="0" err="1"/>
            <a:t>isArticle</a:t>
          </a:r>
          <a:r>
            <a:rPr lang="en-US" dirty="0"/>
            <a:t>=True)</a:t>
          </a:r>
          <a:endParaRPr lang="en-CA" dirty="0"/>
        </a:p>
      </dgm:t>
    </dgm:pt>
    <dgm:pt modelId="{385EFB1E-A136-40C0-B38D-70A10EAF10EF}" type="parTrans" cxnId="{C9E7EACC-6A5C-4DBC-B199-AEC8C99697EC}">
      <dgm:prSet/>
      <dgm:spPr/>
      <dgm:t>
        <a:bodyPr/>
        <a:lstStyle/>
        <a:p>
          <a:endParaRPr lang="en-CA"/>
        </a:p>
      </dgm:t>
    </dgm:pt>
    <dgm:pt modelId="{DD941872-5869-4592-A459-2C3B1B66BCCE}" type="sibTrans" cxnId="{C9E7EACC-6A5C-4DBC-B199-AEC8C99697EC}">
      <dgm:prSet/>
      <dgm:spPr/>
      <dgm:t>
        <a:bodyPr/>
        <a:lstStyle/>
        <a:p>
          <a:endParaRPr lang="en-CA"/>
        </a:p>
      </dgm:t>
    </dgm:pt>
    <dgm:pt modelId="{B4958E31-E13F-412E-8C59-C449DF11AA33}">
      <dgm:prSet phldrT="[Text]"/>
      <dgm:spPr/>
      <dgm:t>
        <a:bodyPr/>
        <a:lstStyle/>
        <a:p>
          <a:r>
            <a:rPr lang="en-CA" dirty="0"/>
            <a:t>Die attach (M2)</a:t>
          </a:r>
        </a:p>
        <a:p>
          <a:endParaRPr lang="en-CA" dirty="0"/>
        </a:p>
      </dgm:t>
    </dgm:pt>
    <dgm:pt modelId="{D50EF7EC-4353-4D05-A617-7F7B49AC8CFA}" type="parTrans" cxnId="{ED691E6D-6180-4C0D-9B58-5A8938020C3C}">
      <dgm:prSet/>
      <dgm:spPr/>
      <dgm:t>
        <a:bodyPr/>
        <a:lstStyle/>
        <a:p>
          <a:endParaRPr lang="en-CA"/>
        </a:p>
      </dgm:t>
    </dgm:pt>
    <dgm:pt modelId="{BC652075-2E0C-4B28-84FD-156A44740EDB}" type="sibTrans" cxnId="{ED691E6D-6180-4C0D-9B58-5A8938020C3C}">
      <dgm:prSet/>
      <dgm:spPr/>
      <dgm:t>
        <a:bodyPr/>
        <a:lstStyle/>
        <a:p>
          <a:endParaRPr lang="en-CA"/>
        </a:p>
      </dgm:t>
    </dgm:pt>
    <dgm:pt modelId="{B639008E-1EC2-4EBF-9FF6-888CA95A5789}">
      <dgm:prSet phldrT="[Text]"/>
      <dgm:spPr/>
      <dgm:t>
        <a:bodyPr/>
        <a:lstStyle/>
        <a:p>
          <a:r>
            <a:rPr lang="en-CA" dirty="0"/>
            <a:t>S2 (SVHC)</a:t>
          </a:r>
        </a:p>
      </dgm:t>
    </dgm:pt>
    <dgm:pt modelId="{60D5BC05-61EB-4812-BDE1-E0E814D3E659}" type="parTrans" cxnId="{973746DC-878C-4725-BEFD-E7A1DB47DB64}">
      <dgm:prSet/>
      <dgm:spPr/>
      <dgm:t>
        <a:bodyPr/>
        <a:lstStyle/>
        <a:p>
          <a:endParaRPr lang="en-CA"/>
        </a:p>
      </dgm:t>
    </dgm:pt>
    <dgm:pt modelId="{3F8369FD-5094-434C-8E24-8132D9408F3B}" type="sibTrans" cxnId="{973746DC-878C-4725-BEFD-E7A1DB47DB64}">
      <dgm:prSet/>
      <dgm:spPr/>
      <dgm:t>
        <a:bodyPr/>
        <a:lstStyle/>
        <a:p>
          <a:endParaRPr lang="en-CA"/>
        </a:p>
      </dgm:t>
    </dgm:pt>
    <dgm:pt modelId="{80EF95C9-54E9-4C03-AA35-81084C53E063}" type="pres">
      <dgm:prSet presAssocID="{ED188151-1F44-4A2F-A63E-83D4ECF69490}" presName="mainComposite" presStyleCnt="0">
        <dgm:presLayoutVars>
          <dgm:chPref val="1"/>
          <dgm:dir/>
          <dgm:animOne val="branch"/>
          <dgm:animLvl val="lvl"/>
          <dgm:resizeHandles val="exact"/>
        </dgm:presLayoutVars>
      </dgm:prSet>
      <dgm:spPr/>
    </dgm:pt>
    <dgm:pt modelId="{197C431F-1698-4B7B-9BD0-7CCC0114C0DB}" type="pres">
      <dgm:prSet presAssocID="{ED188151-1F44-4A2F-A63E-83D4ECF69490}" presName="hierFlow" presStyleCnt="0"/>
      <dgm:spPr/>
    </dgm:pt>
    <dgm:pt modelId="{52F68A2A-99E5-4026-8354-D10A9CBEF0BB}" type="pres">
      <dgm:prSet presAssocID="{ED188151-1F44-4A2F-A63E-83D4ECF69490}" presName="hierChild1" presStyleCnt="0">
        <dgm:presLayoutVars>
          <dgm:chPref val="1"/>
          <dgm:animOne val="branch"/>
          <dgm:animLvl val="lvl"/>
        </dgm:presLayoutVars>
      </dgm:prSet>
      <dgm:spPr/>
    </dgm:pt>
    <dgm:pt modelId="{E05C10D8-8CF9-4F63-805B-2E6D9F4E043F}" type="pres">
      <dgm:prSet presAssocID="{6F9B3EFC-DFCD-45E6-89F3-C66FC3623F5D}" presName="Name14" presStyleCnt="0"/>
      <dgm:spPr/>
    </dgm:pt>
    <dgm:pt modelId="{5CE06A84-6EA6-4B8F-A84C-90C812CDFF27}" type="pres">
      <dgm:prSet presAssocID="{6F9B3EFC-DFCD-45E6-89F3-C66FC3623F5D}" presName="level1Shape" presStyleLbl="node0" presStyleIdx="0" presStyleCnt="1">
        <dgm:presLayoutVars>
          <dgm:chPref val="3"/>
        </dgm:presLayoutVars>
      </dgm:prSet>
      <dgm:spPr/>
    </dgm:pt>
    <dgm:pt modelId="{F46CAAA3-1ECC-4B04-B3EF-9382DB67BA21}" type="pres">
      <dgm:prSet presAssocID="{6F9B3EFC-DFCD-45E6-89F3-C66FC3623F5D}" presName="hierChild2" presStyleCnt="0"/>
      <dgm:spPr/>
    </dgm:pt>
    <dgm:pt modelId="{EE35ABD7-39D5-49E9-BBC4-4632F6A61278}" type="pres">
      <dgm:prSet presAssocID="{385EFB1E-A136-40C0-B38D-70A10EAF10EF}" presName="Name19" presStyleLbl="parChTrans1D2" presStyleIdx="0" presStyleCnt="1"/>
      <dgm:spPr/>
    </dgm:pt>
    <dgm:pt modelId="{B4F91C56-096C-4997-A16B-58325F744DB4}" type="pres">
      <dgm:prSet presAssocID="{90F08340-4FBC-4A5D-BA05-305D1817F9DA}" presName="Name21" presStyleCnt="0"/>
      <dgm:spPr/>
    </dgm:pt>
    <dgm:pt modelId="{24E78167-B747-4F15-81E8-79530874B400}" type="pres">
      <dgm:prSet presAssocID="{90F08340-4FBC-4A5D-BA05-305D1817F9DA}" presName="level2Shape" presStyleLbl="node2" presStyleIdx="0" presStyleCnt="1"/>
      <dgm:spPr/>
    </dgm:pt>
    <dgm:pt modelId="{38829482-B2A6-492A-BE1E-5A3114EFD931}" type="pres">
      <dgm:prSet presAssocID="{90F08340-4FBC-4A5D-BA05-305D1817F9DA}" presName="hierChild3" presStyleCnt="0"/>
      <dgm:spPr/>
    </dgm:pt>
    <dgm:pt modelId="{EF22BD81-AA62-4ABF-A40F-A4276640F06B}" type="pres">
      <dgm:prSet presAssocID="{8018B5B2-8419-4A24-A26C-F6BA14DAA49B}" presName="Name19" presStyleLbl="parChTrans1D3" presStyleIdx="0" presStyleCnt="3"/>
      <dgm:spPr/>
    </dgm:pt>
    <dgm:pt modelId="{DA123D16-2DE6-4F64-AB45-07A4BFFC9012}" type="pres">
      <dgm:prSet presAssocID="{29A3840C-37E0-4222-93E2-2FB900FD8ED5}" presName="Name21" presStyleCnt="0"/>
      <dgm:spPr/>
    </dgm:pt>
    <dgm:pt modelId="{1BDC91BC-8FB8-440D-95F8-5D1EFDDF8AE1}" type="pres">
      <dgm:prSet presAssocID="{29A3840C-37E0-4222-93E2-2FB900FD8ED5}" presName="level2Shape" presStyleLbl="node3" presStyleIdx="0" presStyleCnt="3"/>
      <dgm:spPr/>
    </dgm:pt>
    <dgm:pt modelId="{10DB21CA-1673-4ED8-8B84-B5F9D72AB056}" type="pres">
      <dgm:prSet presAssocID="{29A3840C-37E0-4222-93E2-2FB900FD8ED5}" presName="hierChild3" presStyleCnt="0"/>
      <dgm:spPr/>
    </dgm:pt>
    <dgm:pt modelId="{BD8B4B93-7124-4EEB-A7A0-A2A9DDEE2F5B}" type="pres">
      <dgm:prSet presAssocID="{D50EF7EC-4353-4D05-A617-7F7B49AC8CFA}" presName="Name19" presStyleLbl="parChTrans1D3" presStyleIdx="1" presStyleCnt="3"/>
      <dgm:spPr/>
    </dgm:pt>
    <dgm:pt modelId="{9FB9F830-8385-4152-BDCE-D851DF3D27F8}" type="pres">
      <dgm:prSet presAssocID="{B4958E31-E13F-412E-8C59-C449DF11AA33}" presName="Name21" presStyleCnt="0"/>
      <dgm:spPr/>
    </dgm:pt>
    <dgm:pt modelId="{C2238580-E614-499A-AEDE-557A66C8DD33}" type="pres">
      <dgm:prSet presAssocID="{B4958E31-E13F-412E-8C59-C449DF11AA33}" presName="level2Shape" presStyleLbl="node3" presStyleIdx="1" presStyleCnt="3"/>
      <dgm:spPr/>
    </dgm:pt>
    <dgm:pt modelId="{21CF787A-46F4-4054-90BC-9D1B1EE01A74}" type="pres">
      <dgm:prSet presAssocID="{B4958E31-E13F-412E-8C59-C449DF11AA33}" presName="hierChild3" presStyleCnt="0"/>
      <dgm:spPr/>
    </dgm:pt>
    <dgm:pt modelId="{E43DD157-1F6F-4D16-8C7C-BB72C1FEF276}" type="pres">
      <dgm:prSet presAssocID="{60D5BC05-61EB-4812-BDE1-E0E814D3E659}" presName="Name19" presStyleLbl="parChTrans1D4" presStyleIdx="0" presStyleCnt="4"/>
      <dgm:spPr/>
    </dgm:pt>
    <dgm:pt modelId="{7F49C1BA-8598-4461-8258-E49CB0FFA29B}" type="pres">
      <dgm:prSet presAssocID="{B639008E-1EC2-4EBF-9FF6-888CA95A5789}" presName="Name21" presStyleCnt="0"/>
      <dgm:spPr/>
    </dgm:pt>
    <dgm:pt modelId="{C6088683-271B-45DD-A1F4-147ED14412C4}" type="pres">
      <dgm:prSet presAssocID="{B639008E-1EC2-4EBF-9FF6-888CA95A5789}" presName="level2Shape" presStyleLbl="node4" presStyleIdx="0" presStyleCnt="4"/>
      <dgm:spPr/>
    </dgm:pt>
    <dgm:pt modelId="{22500136-13D7-443E-ACBB-AB629FDF5C8D}" type="pres">
      <dgm:prSet presAssocID="{B639008E-1EC2-4EBF-9FF6-888CA95A5789}" presName="hierChild3" presStyleCnt="0"/>
      <dgm:spPr/>
    </dgm:pt>
    <dgm:pt modelId="{F1F331EA-420B-41BA-AA25-21D53ADCDB64}" type="pres">
      <dgm:prSet presAssocID="{C7FB3CFE-E587-4F45-8290-E80941BAA55F}" presName="Name19" presStyleLbl="parChTrans1D3" presStyleIdx="2" presStyleCnt="3"/>
      <dgm:spPr/>
    </dgm:pt>
    <dgm:pt modelId="{74EC40AB-BA8E-4920-B528-0A545C6834D2}" type="pres">
      <dgm:prSet presAssocID="{AD16CBD0-C4CB-4EAD-9BDA-EDF8F2E92638}" presName="Name21" presStyleCnt="0"/>
      <dgm:spPr/>
    </dgm:pt>
    <dgm:pt modelId="{80619E00-A05D-452F-BFF6-98CB7F25D487}" type="pres">
      <dgm:prSet presAssocID="{AD16CBD0-C4CB-4EAD-9BDA-EDF8F2E92638}" presName="level2Shape" presStyleLbl="node3" presStyleIdx="2" presStyleCnt="3"/>
      <dgm:spPr/>
    </dgm:pt>
    <dgm:pt modelId="{C99EEEB9-8964-47DE-AEC7-AFA5DF8B6971}" type="pres">
      <dgm:prSet presAssocID="{AD16CBD0-C4CB-4EAD-9BDA-EDF8F2E92638}" presName="hierChild3" presStyleCnt="0"/>
      <dgm:spPr/>
    </dgm:pt>
    <dgm:pt modelId="{CA927BA7-3DD0-4AFA-AD04-5EF57D091457}" type="pres">
      <dgm:prSet presAssocID="{4911F666-0919-4790-9C60-F6A1F351D60E}" presName="Name19" presStyleLbl="parChTrans1D4" presStyleIdx="1" presStyleCnt="4"/>
      <dgm:spPr/>
    </dgm:pt>
    <dgm:pt modelId="{148693C5-4336-4444-861A-DF123650DB86}" type="pres">
      <dgm:prSet presAssocID="{571FE94D-9399-43C5-99EE-B1A58943C490}" presName="Name21" presStyleCnt="0"/>
      <dgm:spPr/>
    </dgm:pt>
    <dgm:pt modelId="{48A89483-BB07-4B1F-BB6F-435F7869CC74}" type="pres">
      <dgm:prSet presAssocID="{571FE94D-9399-43C5-99EE-B1A58943C490}" presName="level2Shape" presStyleLbl="node4" presStyleIdx="1" presStyleCnt="4"/>
      <dgm:spPr/>
    </dgm:pt>
    <dgm:pt modelId="{B5B09E14-0E56-4D44-B28A-F6746C20F11E}" type="pres">
      <dgm:prSet presAssocID="{571FE94D-9399-43C5-99EE-B1A58943C490}" presName="hierChild3" presStyleCnt="0"/>
      <dgm:spPr/>
    </dgm:pt>
    <dgm:pt modelId="{33297149-5759-462C-948E-90C4281C88F8}" type="pres">
      <dgm:prSet presAssocID="{99F7E8DA-2358-4798-91D6-93997D9DBA51}" presName="Name19" presStyleLbl="parChTrans1D4" presStyleIdx="2" presStyleCnt="4"/>
      <dgm:spPr/>
    </dgm:pt>
    <dgm:pt modelId="{FD430E2A-F617-495A-AB0F-5032D89BAE06}" type="pres">
      <dgm:prSet presAssocID="{BFFE9E32-55E2-4AA4-B76E-04484CCE2226}" presName="Name21" presStyleCnt="0"/>
      <dgm:spPr/>
    </dgm:pt>
    <dgm:pt modelId="{51086B75-8862-45BA-9DA6-EB9648B5C343}" type="pres">
      <dgm:prSet presAssocID="{BFFE9E32-55E2-4AA4-B76E-04484CCE2226}" presName="level2Shape" presStyleLbl="node4" presStyleIdx="2" presStyleCnt="4"/>
      <dgm:spPr/>
    </dgm:pt>
    <dgm:pt modelId="{EA70B7C3-DC8B-419A-86E8-4E426691E69C}" type="pres">
      <dgm:prSet presAssocID="{BFFE9E32-55E2-4AA4-B76E-04484CCE2226}" presName="hierChild3" presStyleCnt="0"/>
      <dgm:spPr/>
    </dgm:pt>
    <dgm:pt modelId="{63BE3CCB-C10E-4557-8ABD-BB72614F125D}" type="pres">
      <dgm:prSet presAssocID="{5A722CF6-0228-4D26-AACC-76281F8C58C8}" presName="Name19" presStyleLbl="parChTrans1D4" presStyleIdx="3" presStyleCnt="4"/>
      <dgm:spPr/>
    </dgm:pt>
    <dgm:pt modelId="{708F1D54-370B-4627-8EB9-0DD962EF0457}" type="pres">
      <dgm:prSet presAssocID="{8D71FF04-4E5F-41AF-9A5C-9C2C552B8D3D}" presName="Name21" presStyleCnt="0"/>
      <dgm:spPr/>
    </dgm:pt>
    <dgm:pt modelId="{4B9FE2B1-7FC7-4509-B91B-8CCE69D9C950}" type="pres">
      <dgm:prSet presAssocID="{8D71FF04-4E5F-41AF-9A5C-9C2C552B8D3D}" presName="level2Shape" presStyleLbl="node4" presStyleIdx="3" presStyleCnt="4"/>
      <dgm:spPr/>
    </dgm:pt>
    <dgm:pt modelId="{60F13235-35B5-41F7-94DF-6C56B0FD788E}" type="pres">
      <dgm:prSet presAssocID="{8D71FF04-4E5F-41AF-9A5C-9C2C552B8D3D}" presName="hierChild3" presStyleCnt="0"/>
      <dgm:spPr/>
    </dgm:pt>
    <dgm:pt modelId="{C6928538-3A29-49A0-9C2A-560FDFBBCD8D}" type="pres">
      <dgm:prSet presAssocID="{ED188151-1F44-4A2F-A63E-83D4ECF69490}" presName="bgShapesFlow" presStyleCnt="0"/>
      <dgm:spPr/>
    </dgm:pt>
  </dgm:ptLst>
  <dgm:cxnLst>
    <dgm:cxn modelId="{9C1F9906-2D7D-4EF6-B266-67B985060F78}" type="presOf" srcId="{C7FB3CFE-E587-4F45-8290-E80941BAA55F}" destId="{F1F331EA-420B-41BA-AA25-21D53ADCDB64}" srcOrd="0" destOrd="0" presId="urn:microsoft.com/office/officeart/2005/8/layout/hierarchy6"/>
    <dgm:cxn modelId="{0D150113-4E6A-481A-9EAA-7FA22E7F3B19}" type="presOf" srcId="{ED188151-1F44-4A2F-A63E-83D4ECF69490}" destId="{80EF95C9-54E9-4C03-AA35-81084C53E063}" srcOrd="0" destOrd="0" presId="urn:microsoft.com/office/officeart/2005/8/layout/hierarchy6"/>
    <dgm:cxn modelId="{766D881B-01DE-4796-A890-7A44B4777F0F}" type="presOf" srcId="{BFFE9E32-55E2-4AA4-B76E-04484CCE2226}" destId="{51086B75-8862-45BA-9DA6-EB9648B5C343}" srcOrd="0" destOrd="0" presId="urn:microsoft.com/office/officeart/2005/8/layout/hierarchy6"/>
    <dgm:cxn modelId="{7E8FF51F-650E-4EC0-9833-D84BDD07D9AB}" srcId="{BFFE9E32-55E2-4AA4-B76E-04484CCE2226}" destId="{8D71FF04-4E5F-41AF-9A5C-9C2C552B8D3D}" srcOrd="0" destOrd="0" parTransId="{5A722CF6-0228-4D26-AACC-76281F8C58C8}" sibTransId="{F60C0063-8254-4B84-B3EC-B251CA54F83D}"/>
    <dgm:cxn modelId="{A6413A2F-A3AD-47C9-941F-48AED3DF4DE4}" type="presOf" srcId="{5A722CF6-0228-4D26-AACC-76281F8C58C8}" destId="{63BE3CCB-C10E-4557-8ABD-BB72614F125D}" srcOrd="0" destOrd="0" presId="urn:microsoft.com/office/officeart/2005/8/layout/hierarchy6"/>
    <dgm:cxn modelId="{853A2034-30E3-4275-9087-576911A84077}" srcId="{90F08340-4FBC-4A5D-BA05-305D1817F9DA}" destId="{AD16CBD0-C4CB-4EAD-9BDA-EDF8F2E92638}" srcOrd="2" destOrd="0" parTransId="{C7FB3CFE-E587-4F45-8290-E80941BAA55F}" sibTransId="{DAAA8D46-6109-4154-AE32-9EC32BCD20D6}"/>
    <dgm:cxn modelId="{D6C5BD41-80E7-408C-8CDA-D5FF8AF36EAC}" type="presOf" srcId="{571FE94D-9399-43C5-99EE-B1A58943C490}" destId="{48A89483-BB07-4B1F-BB6F-435F7869CC74}" srcOrd="0" destOrd="0" presId="urn:microsoft.com/office/officeart/2005/8/layout/hierarchy6"/>
    <dgm:cxn modelId="{ED691E6D-6180-4C0D-9B58-5A8938020C3C}" srcId="{90F08340-4FBC-4A5D-BA05-305D1817F9DA}" destId="{B4958E31-E13F-412E-8C59-C449DF11AA33}" srcOrd="1" destOrd="0" parTransId="{D50EF7EC-4353-4D05-A617-7F7B49AC8CFA}" sibTransId="{BC652075-2E0C-4B28-84FD-156A44740EDB}"/>
    <dgm:cxn modelId="{529A6958-1D08-4963-99EF-D21E547033C8}" type="presOf" srcId="{B639008E-1EC2-4EBF-9FF6-888CA95A5789}" destId="{C6088683-271B-45DD-A1F4-147ED14412C4}" srcOrd="0" destOrd="0" presId="urn:microsoft.com/office/officeart/2005/8/layout/hierarchy6"/>
    <dgm:cxn modelId="{C78DD87D-54B3-434B-AF90-0AC59EAF97C1}" srcId="{90F08340-4FBC-4A5D-BA05-305D1817F9DA}" destId="{29A3840C-37E0-4222-93E2-2FB900FD8ED5}" srcOrd="0" destOrd="0" parTransId="{8018B5B2-8419-4A24-A26C-F6BA14DAA49B}" sibTransId="{5DD6F619-BA2F-471E-A02E-52E35193B6FD}"/>
    <dgm:cxn modelId="{06DE3A87-F5AF-49BD-BFBB-15EF247470F0}" type="presOf" srcId="{D50EF7EC-4353-4D05-A617-7F7B49AC8CFA}" destId="{BD8B4B93-7124-4EEB-A7A0-A2A9DDEE2F5B}" srcOrd="0" destOrd="0" presId="urn:microsoft.com/office/officeart/2005/8/layout/hierarchy6"/>
    <dgm:cxn modelId="{FB6C068B-9A48-42D2-AEBD-6ACCFA6016C2}" srcId="{AD16CBD0-C4CB-4EAD-9BDA-EDF8F2E92638}" destId="{571FE94D-9399-43C5-99EE-B1A58943C490}" srcOrd="0" destOrd="0" parTransId="{4911F666-0919-4790-9C60-F6A1F351D60E}" sibTransId="{8B42DCD2-A1A4-432B-927F-65CD4D9796E3}"/>
    <dgm:cxn modelId="{9EC90D94-1979-411C-AE90-18EB3DD09DEB}" type="presOf" srcId="{6F9B3EFC-DFCD-45E6-89F3-C66FC3623F5D}" destId="{5CE06A84-6EA6-4B8F-A84C-90C812CDFF27}" srcOrd="0" destOrd="0" presId="urn:microsoft.com/office/officeart/2005/8/layout/hierarchy6"/>
    <dgm:cxn modelId="{5547769D-D875-4C75-B255-FF0874F28F04}" type="presOf" srcId="{AD16CBD0-C4CB-4EAD-9BDA-EDF8F2E92638}" destId="{80619E00-A05D-452F-BFF6-98CB7F25D487}" srcOrd="0" destOrd="0" presId="urn:microsoft.com/office/officeart/2005/8/layout/hierarchy6"/>
    <dgm:cxn modelId="{FD1AD69D-4FA2-4655-9F83-6A555FBD22AE}" type="presOf" srcId="{90F08340-4FBC-4A5D-BA05-305D1817F9DA}" destId="{24E78167-B747-4F15-81E8-79530874B400}" srcOrd="0" destOrd="0" presId="urn:microsoft.com/office/officeart/2005/8/layout/hierarchy6"/>
    <dgm:cxn modelId="{1D2272AF-8777-4E07-AC41-FFE83CD1E5AF}" type="presOf" srcId="{B4958E31-E13F-412E-8C59-C449DF11AA33}" destId="{C2238580-E614-499A-AEDE-557A66C8DD33}" srcOrd="0" destOrd="0" presId="urn:microsoft.com/office/officeart/2005/8/layout/hierarchy6"/>
    <dgm:cxn modelId="{5342E0B8-F9DC-45F8-AB8B-7FD2D1EF1F9C}" srcId="{ED188151-1F44-4A2F-A63E-83D4ECF69490}" destId="{6F9B3EFC-DFCD-45E6-89F3-C66FC3623F5D}" srcOrd="0" destOrd="0" parTransId="{F0AB126D-70BB-4DD8-B658-147C6BBAF19C}" sibTransId="{13F1F6D6-D137-49A0-972F-6F547A8EAE43}"/>
    <dgm:cxn modelId="{D22E5DC3-83F7-4EC6-B5D8-C82BB8CF75DF}" type="presOf" srcId="{4911F666-0919-4790-9C60-F6A1F351D60E}" destId="{CA927BA7-3DD0-4AFA-AD04-5EF57D091457}" srcOrd="0" destOrd="0" presId="urn:microsoft.com/office/officeart/2005/8/layout/hierarchy6"/>
    <dgm:cxn modelId="{C9E7EACC-6A5C-4DBC-B199-AEC8C99697EC}" srcId="{6F9B3EFC-DFCD-45E6-89F3-C66FC3623F5D}" destId="{90F08340-4FBC-4A5D-BA05-305D1817F9DA}" srcOrd="0" destOrd="0" parTransId="{385EFB1E-A136-40C0-B38D-70A10EAF10EF}" sibTransId="{DD941872-5869-4592-A459-2C3B1B66BCCE}"/>
    <dgm:cxn modelId="{458CA9DB-4113-4288-83A6-3518D10FA935}" type="presOf" srcId="{8D71FF04-4E5F-41AF-9A5C-9C2C552B8D3D}" destId="{4B9FE2B1-7FC7-4509-B91B-8CCE69D9C950}" srcOrd="0" destOrd="0" presId="urn:microsoft.com/office/officeart/2005/8/layout/hierarchy6"/>
    <dgm:cxn modelId="{973746DC-878C-4725-BEFD-E7A1DB47DB64}" srcId="{B4958E31-E13F-412E-8C59-C449DF11AA33}" destId="{B639008E-1EC2-4EBF-9FF6-888CA95A5789}" srcOrd="0" destOrd="0" parTransId="{60D5BC05-61EB-4812-BDE1-E0E814D3E659}" sibTransId="{3F8369FD-5094-434C-8E24-8132D9408F3B}"/>
    <dgm:cxn modelId="{03D657DC-D2A6-4529-8C46-F0EBCB21514E}" type="presOf" srcId="{99F7E8DA-2358-4798-91D6-93997D9DBA51}" destId="{33297149-5759-462C-948E-90C4281C88F8}" srcOrd="0" destOrd="0" presId="urn:microsoft.com/office/officeart/2005/8/layout/hierarchy6"/>
    <dgm:cxn modelId="{9FB3E0E0-0542-4C3D-AFF7-2E8DB71E4DBF}" srcId="{AD16CBD0-C4CB-4EAD-9BDA-EDF8F2E92638}" destId="{BFFE9E32-55E2-4AA4-B76E-04484CCE2226}" srcOrd="1" destOrd="0" parTransId="{99F7E8DA-2358-4798-91D6-93997D9DBA51}" sibTransId="{1834DD6E-1654-4517-970E-6833CE70F946}"/>
    <dgm:cxn modelId="{2F000EF3-16D8-4509-970E-251E24DF27CB}" type="presOf" srcId="{385EFB1E-A136-40C0-B38D-70A10EAF10EF}" destId="{EE35ABD7-39D5-49E9-BBC4-4632F6A61278}" srcOrd="0" destOrd="0" presId="urn:microsoft.com/office/officeart/2005/8/layout/hierarchy6"/>
    <dgm:cxn modelId="{43BB6CF3-CB7A-4C95-A836-B9DDF0055BA4}" type="presOf" srcId="{8018B5B2-8419-4A24-A26C-F6BA14DAA49B}" destId="{EF22BD81-AA62-4ABF-A40F-A4276640F06B}" srcOrd="0" destOrd="0" presId="urn:microsoft.com/office/officeart/2005/8/layout/hierarchy6"/>
    <dgm:cxn modelId="{304D2FF7-26D3-441F-9EEE-278151DC44BB}" type="presOf" srcId="{29A3840C-37E0-4222-93E2-2FB900FD8ED5}" destId="{1BDC91BC-8FB8-440D-95F8-5D1EFDDF8AE1}" srcOrd="0" destOrd="0" presId="urn:microsoft.com/office/officeart/2005/8/layout/hierarchy6"/>
    <dgm:cxn modelId="{13A8EFFD-1FEE-4381-9F66-589F458683A8}" type="presOf" srcId="{60D5BC05-61EB-4812-BDE1-E0E814D3E659}" destId="{E43DD157-1F6F-4D16-8C7C-BB72C1FEF276}" srcOrd="0" destOrd="0" presId="urn:microsoft.com/office/officeart/2005/8/layout/hierarchy6"/>
    <dgm:cxn modelId="{8AC02107-B6B3-4125-83A6-12AC8AA3ED71}" type="presParOf" srcId="{80EF95C9-54E9-4C03-AA35-81084C53E063}" destId="{197C431F-1698-4B7B-9BD0-7CCC0114C0DB}" srcOrd="0" destOrd="0" presId="urn:microsoft.com/office/officeart/2005/8/layout/hierarchy6"/>
    <dgm:cxn modelId="{F5B5F92B-DB9F-4EAD-B4CB-52F441AEF9D3}" type="presParOf" srcId="{197C431F-1698-4B7B-9BD0-7CCC0114C0DB}" destId="{52F68A2A-99E5-4026-8354-D10A9CBEF0BB}" srcOrd="0" destOrd="0" presId="urn:microsoft.com/office/officeart/2005/8/layout/hierarchy6"/>
    <dgm:cxn modelId="{28AE36F7-1FD7-4A9A-9037-A6405F38E356}" type="presParOf" srcId="{52F68A2A-99E5-4026-8354-D10A9CBEF0BB}" destId="{E05C10D8-8CF9-4F63-805B-2E6D9F4E043F}" srcOrd="0" destOrd="0" presId="urn:microsoft.com/office/officeart/2005/8/layout/hierarchy6"/>
    <dgm:cxn modelId="{EC019027-0624-4854-BC3E-D51BCDBBCD0E}" type="presParOf" srcId="{E05C10D8-8CF9-4F63-805B-2E6D9F4E043F}" destId="{5CE06A84-6EA6-4B8F-A84C-90C812CDFF27}" srcOrd="0" destOrd="0" presId="urn:microsoft.com/office/officeart/2005/8/layout/hierarchy6"/>
    <dgm:cxn modelId="{29E87C8D-2C51-4DDC-90E4-CF9FA638A1C9}" type="presParOf" srcId="{E05C10D8-8CF9-4F63-805B-2E6D9F4E043F}" destId="{F46CAAA3-1ECC-4B04-B3EF-9382DB67BA21}" srcOrd="1" destOrd="0" presId="urn:microsoft.com/office/officeart/2005/8/layout/hierarchy6"/>
    <dgm:cxn modelId="{BBBF46A8-CCDD-4989-B2FF-C65160578308}" type="presParOf" srcId="{F46CAAA3-1ECC-4B04-B3EF-9382DB67BA21}" destId="{EE35ABD7-39D5-49E9-BBC4-4632F6A61278}" srcOrd="0" destOrd="0" presId="urn:microsoft.com/office/officeart/2005/8/layout/hierarchy6"/>
    <dgm:cxn modelId="{497D2CC8-DD43-4E76-8AC7-F26801C96DA5}" type="presParOf" srcId="{F46CAAA3-1ECC-4B04-B3EF-9382DB67BA21}" destId="{B4F91C56-096C-4997-A16B-58325F744DB4}" srcOrd="1" destOrd="0" presId="urn:microsoft.com/office/officeart/2005/8/layout/hierarchy6"/>
    <dgm:cxn modelId="{1867E48A-3B9A-46B5-90CD-53663A4A39D0}" type="presParOf" srcId="{B4F91C56-096C-4997-A16B-58325F744DB4}" destId="{24E78167-B747-4F15-81E8-79530874B400}" srcOrd="0" destOrd="0" presId="urn:microsoft.com/office/officeart/2005/8/layout/hierarchy6"/>
    <dgm:cxn modelId="{A22D6C2D-8F96-494B-8226-5A628D91EF39}" type="presParOf" srcId="{B4F91C56-096C-4997-A16B-58325F744DB4}" destId="{38829482-B2A6-492A-BE1E-5A3114EFD931}" srcOrd="1" destOrd="0" presId="urn:microsoft.com/office/officeart/2005/8/layout/hierarchy6"/>
    <dgm:cxn modelId="{F0268482-384E-4261-80A5-43BC48D3A305}" type="presParOf" srcId="{38829482-B2A6-492A-BE1E-5A3114EFD931}" destId="{EF22BD81-AA62-4ABF-A40F-A4276640F06B}" srcOrd="0" destOrd="0" presId="urn:microsoft.com/office/officeart/2005/8/layout/hierarchy6"/>
    <dgm:cxn modelId="{6E4719B5-82DD-475F-99B1-C16535989C55}" type="presParOf" srcId="{38829482-B2A6-492A-BE1E-5A3114EFD931}" destId="{DA123D16-2DE6-4F64-AB45-07A4BFFC9012}" srcOrd="1" destOrd="0" presId="urn:microsoft.com/office/officeart/2005/8/layout/hierarchy6"/>
    <dgm:cxn modelId="{480B65A6-00E7-4380-A24B-1267E07904E2}" type="presParOf" srcId="{DA123D16-2DE6-4F64-AB45-07A4BFFC9012}" destId="{1BDC91BC-8FB8-440D-95F8-5D1EFDDF8AE1}" srcOrd="0" destOrd="0" presId="urn:microsoft.com/office/officeart/2005/8/layout/hierarchy6"/>
    <dgm:cxn modelId="{929AAEA6-3F2C-422E-AF96-D0851463243C}" type="presParOf" srcId="{DA123D16-2DE6-4F64-AB45-07A4BFFC9012}" destId="{10DB21CA-1673-4ED8-8B84-B5F9D72AB056}" srcOrd="1" destOrd="0" presId="urn:microsoft.com/office/officeart/2005/8/layout/hierarchy6"/>
    <dgm:cxn modelId="{236B1D9E-9202-4D41-95FB-21C994CB587E}" type="presParOf" srcId="{38829482-B2A6-492A-BE1E-5A3114EFD931}" destId="{BD8B4B93-7124-4EEB-A7A0-A2A9DDEE2F5B}" srcOrd="2" destOrd="0" presId="urn:microsoft.com/office/officeart/2005/8/layout/hierarchy6"/>
    <dgm:cxn modelId="{80720140-1F06-4F9C-982C-F1A7161578EB}" type="presParOf" srcId="{38829482-B2A6-492A-BE1E-5A3114EFD931}" destId="{9FB9F830-8385-4152-BDCE-D851DF3D27F8}" srcOrd="3" destOrd="0" presId="urn:microsoft.com/office/officeart/2005/8/layout/hierarchy6"/>
    <dgm:cxn modelId="{BC5AABFA-7890-4175-B3C0-839513A40F71}" type="presParOf" srcId="{9FB9F830-8385-4152-BDCE-D851DF3D27F8}" destId="{C2238580-E614-499A-AEDE-557A66C8DD33}" srcOrd="0" destOrd="0" presId="urn:microsoft.com/office/officeart/2005/8/layout/hierarchy6"/>
    <dgm:cxn modelId="{0B66D3E9-B15E-457E-BA84-4DF72805B59E}" type="presParOf" srcId="{9FB9F830-8385-4152-BDCE-D851DF3D27F8}" destId="{21CF787A-46F4-4054-90BC-9D1B1EE01A74}" srcOrd="1" destOrd="0" presId="urn:microsoft.com/office/officeart/2005/8/layout/hierarchy6"/>
    <dgm:cxn modelId="{9D8987F1-4765-4B10-A6FA-E50DC7FB1A6C}" type="presParOf" srcId="{21CF787A-46F4-4054-90BC-9D1B1EE01A74}" destId="{E43DD157-1F6F-4D16-8C7C-BB72C1FEF276}" srcOrd="0" destOrd="0" presId="urn:microsoft.com/office/officeart/2005/8/layout/hierarchy6"/>
    <dgm:cxn modelId="{3273F684-9604-40F9-9871-504DC05E79AA}" type="presParOf" srcId="{21CF787A-46F4-4054-90BC-9D1B1EE01A74}" destId="{7F49C1BA-8598-4461-8258-E49CB0FFA29B}" srcOrd="1" destOrd="0" presId="urn:microsoft.com/office/officeart/2005/8/layout/hierarchy6"/>
    <dgm:cxn modelId="{168C37C3-CD27-4A4C-B8EF-53DAC989FBF9}" type="presParOf" srcId="{7F49C1BA-8598-4461-8258-E49CB0FFA29B}" destId="{C6088683-271B-45DD-A1F4-147ED14412C4}" srcOrd="0" destOrd="0" presId="urn:microsoft.com/office/officeart/2005/8/layout/hierarchy6"/>
    <dgm:cxn modelId="{4BE6162B-8265-4375-A2E7-EC52914D4521}" type="presParOf" srcId="{7F49C1BA-8598-4461-8258-E49CB0FFA29B}" destId="{22500136-13D7-443E-ACBB-AB629FDF5C8D}" srcOrd="1" destOrd="0" presId="urn:microsoft.com/office/officeart/2005/8/layout/hierarchy6"/>
    <dgm:cxn modelId="{5141266C-A2C2-47A1-BB15-698A69C35B36}" type="presParOf" srcId="{38829482-B2A6-492A-BE1E-5A3114EFD931}" destId="{F1F331EA-420B-41BA-AA25-21D53ADCDB64}" srcOrd="4" destOrd="0" presId="urn:microsoft.com/office/officeart/2005/8/layout/hierarchy6"/>
    <dgm:cxn modelId="{39CE58BB-97EE-49EB-B77A-74537CB1C1F9}" type="presParOf" srcId="{38829482-B2A6-492A-BE1E-5A3114EFD931}" destId="{74EC40AB-BA8E-4920-B528-0A545C6834D2}" srcOrd="5" destOrd="0" presId="urn:microsoft.com/office/officeart/2005/8/layout/hierarchy6"/>
    <dgm:cxn modelId="{34600709-C6FA-4193-9092-4682BF73E891}" type="presParOf" srcId="{74EC40AB-BA8E-4920-B528-0A545C6834D2}" destId="{80619E00-A05D-452F-BFF6-98CB7F25D487}" srcOrd="0" destOrd="0" presId="urn:microsoft.com/office/officeart/2005/8/layout/hierarchy6"/>
    <dgm:cxn modelId="{B06CE9BF-BA46-4B41-ADF9-3178615E5691}" type="presParOf" srcId="{74EC40AB-BA8E-4920-B528-0A545C6834D2}" destId="{C99EEEB9-8964-47DE-AEC7-AFA5DF8B6971}" srcOrd="1" destOrd="0" presId="urn:microsoft.com/office/officeart/2005/8/layout/hierarchy6"/>
    <dgm:cxn modelId="{00FD7578-5950-4EFB-9B82-1E9057E28160}" type="presParOf" srcId="{C99EEEB9-8964-47DE-AEC7-AFA5DF8B6971}" destId="{CA927BA7-3DD0-4AFA-AD04-5EF57D091457}" srcOrd="0" destOrd="0" presId="urn:microsoft.com/office/officeart/2005/8/layout/hierarchy6"/>
    <dgm:cxn modelId="{1A467F1A-F4BB-48E7-B826-468DF52544F8}" type="presParOf" srcId="{C99EEEB9-8964-47DE-AEC7-AFA5DF8B6971}" destId="{148693C5-4336-4444-861A-DF123650DB86}" srcOrd="1" destOrd="0" presId="urn:microsoft.com/office/officeart/2005/8/layout/hierarchy6"/>
    <dgm:cxn modelId="{649F8CD7-69AC-486C-85F3-6929AA08330A}" type="presParOf" srcId="{148693C5-4336-4444-861A-DF123650DB86}" destId="{48A89483-BB07-4B1F-BB6F-435F7869CC74}" srcOrd="0" destOrd="0" presId="urn:microsoft.com/office/officeart/2005/8/layout/hierarchy6"/>
    <dgm:cxn modelId="{FA1F8C14-B73C-4835-B611-C5E16C56BEF9}" type="presParOf" srcId="{148693C5-4336-4444-861A-DF123650DB86}" destId="{B5B09E14-0E56-4D44-B28A-F6746C20F11E}" srcOrd="1" destOrd="0" presId="urn:microsoft.com/office/officeart/2005/8/layout/hierarchy6"/>
    <dgm:cxn modelId="{7CED29E5-EF26-4451-BBD8-6384DF199C36}" type="presParOf" srcId="{C99EEEB9-8964-47DE-AEC7-AFA5DF8B6971}" destId="{33297149-5759-462C-948E-90C4281C88F8}" srcOrd="2" destOrd="0" presId="urn:microsoft.com/office/officeart/2005/8/layout/hierarchy6"/>
    <dgm:cxn modelId="{A8F9C183-A91D-45ED-82E8-7EDB8E703352}" type="presParOf" srcId="{C99EEEB9-8964-47DE-AEC7-AFA5DF8B6971}" destId="{FD430E2A-F617-495A-AB0F-5032D89BAE06}" srcOrd="3" destOrd="0" presId="urn:microsoft.com/office/officeart/2005/8/layout/hierarchy6"/>
    <dgm:cxn modelId="{8BAD614D-0445-425C-B7F8-1FCEFB107F37}" type="presParOf" srcId="{FD430E2A-F617-495A-AB0F-5032D89BAE06}" destId="{51086B75-8862-45BA-9DA6-EB9648B5C343}" srcOrd="0" destOrd="0" presId="urn:microsoft.com/office/officeart/2005/8/layout/hierarchy6"/>
    <dgm:cxn modelId="{12A5A600-759E-4EBE-887A-B5786A35B448}" type="presParOf" srcId="{FD430E2A-F617-495A-AB0F-5032D89BAE06}" destId="{EA70B7C3-DC8B-419A-86E8-4E426691E69C}" srcOrd="1" destOrd="0" presId="urn:microsoft.com/office/officeart/2005/8/layout/hierarchy6"/>
    <dgm:cxn modelId="{19553F7C-0973-47A3-8CA0-366040BD03D6}" type="presParOf" srcId="{EA70B7C3-DC8B-419A-86E8-4E426691E69C}" destId="{63BE3CCB-C10E-4557-8ABD-BB72614F125D}" srcOrd="0" destOrd="0" presId="urn:microsoft.com/office/officeart/2005/8/layout/hierarchy6"/>
    <dgm:cxn modelId="{A4889D1C-2F07-4267-A047-D5EA05E2F96F}" type="presParOf" srcId="{EA70B7C3-DC8B-419A-86E8-4E426691E69C}" destId="{708F1D54-370B-4627-8EB9-0DD962EF0457}" srcOrd="1" destOrd="0" presId="urn:microsoft.com/office/officeart/2005/8/layout/hierarchy6"/>
    <dgm:cxn modelId="{0873F005-1F82-4410-92C0-3E49F3BC28A2}" type="presParOf" srcId="{708F1D54-370B-4627-8EB9-0DD962EF0457}" destId="{4B9FE2B1-7FC7-4509-B91B-8CCE69D9C950}" srcOrd="0" destOrd="0" presId="urn:microsoft.com/office/officeart/2005/8/layout/hierarchy6"/>
    <dgm:cxn modelId="{23788FC6-28BE-4C52-AFCF-943D0282D42B}" type="presParOf" srcId="{708F1D54-370B-4627-8EB9-0DD962EF0457}" destId="{60F13235-35B5-41F7-94DF-6C56B0FD788E}" srcOrd="1" destOrd="0" presId="urn:microsoft.com/office/officeart/2005/8/layout/hierarchy6"/>
    <dgm:cxn modelId="{D499327D-7615-4FF9-9AD7-9DA28AB4C11F}" type="presParOf" srcId="{80EF95C9-54E9-4C03-AA35-81084C53E063}" destId="{C6928538-3A29-49A0-9C2A-560FDFBBCD8D}"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06A84-6EA6-4B8F-A84C-90C812CDFF27}">
      <dsp:nvSpPr>
        <dsp:cNvPr id="0" name=""/>
        <dsp:cNvSpPr/>
      </dsp:nvSpPr>
      <dsp:spPr>
        <a:xfrm>
          <a:off x="978940" y="431"/>
          <a:ext cx="1045669" cy="69711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Product Info (mass=100g,</a:t>
          </a:r>
        </a:p>
        <a:p>
          <a:pPr marL="0" lvl="0" indent="0" algn="ctr" defTabSz="444500">
            <a:lnSpc>
              <a:spcPct val="90000"/>
            </a:lnSpc>
            <a:spcBef>
              <a:spcPct val="0"/>
            </a:spcBef>
            <a:spcAft>
              <a:spcPct val="35000"/>
            </a:spcAft>
            <a:buNone/>
          </a:pPr>
          <a:r>
            <a:rPr lang="en-US" sz="1000" kern="1200" dirty="0" err="1"/>
            <a:t>isArticle</a:t>
          </a:r>
          <a:r>
            <a:rPr lang="en-US" sz="1000" kern="1200" dirty="0"/>
            <a:t>=True)</a:t>
          </a:r>
          <a:endParaRPr lang="en-CA" sz="1000" kern="1200" dirty="0"/>
        </a:p>
      </dsp:txBody>
      <dsp:txXfrm>
        <a:off x="999358" y="20849"/>
        <a:ext cx="1004833" cy="656277"/>
      </dsp:txXfrm>
    </dsp:sp>
    <dsp:sp modelId="{3F308471-E3F4-4D01-90A0-D3AE171DDA3C}">
      <dsp:nvSpPr>
        <dsp:cNvPr id="0" name=""/>
        <dsp:cNvSpPr/>
      </dsp:nvSpPr>
      <dsp:spPr>
        <a:xfrm>
          <a:off x="1456054" y="697544"/>
          <a:ext cx="91440" cy="278845"/>
        </a:xfrm>
        <a:custGeom>
          <a:avLst/>
          <a:gdLst/>
          <a:ahLst/>
          <a:cxnLst/>
          <a:rect l="0" t="0" r="0" b="0"/>
          <a:pathLst>
            <a:path>
              <a:moveTo>
                <a:pt x="45720" y="0"/>
              </a:moveTo>
              <a:lnTo>
                <a:pt x="45720" y="27884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921758-DB0D-49E1-A7B3-91E3D0B1946A}">
      <dsp:nvSpPr>
        <dsp:cNvPr id="0" name=""/>
        <dsp:cNvSpPr/>
      </dsp:nvSpPr>
      <dsp:spPr>
        <a:xfrm>
          <a:off x="978940" y="976389"/>
          <a:ext cx="1045669" cy="69711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P1 </a:t>
          </a:r>
        </a:p>
        <a:p>
          <a:pPr marL="0" lvl="0" indent="0" algn="ctr" defTabSz="444500">
            <a:lnSpc>
              <a:spcPct val="90000"/>
            </a:lnSpc>
            <a:spcBef>
              <a:spcPct val="0"/>
            </a:spcBef>
            <a:spcAft>
              <a:spcPct val="35000"/>
            </a:spcAft>
            <a:buNone/>
          </a:pPr>
          <a:r>
            <a:rPr lang="en-US" sz="1000" kern="1200" dirty="0"/>
            <a:t>(mass=10g,</a:t>
          </a:r>
        </a:p>
        <a:p>
          <a:pPr marL="0" lvl="0" indent="0" algn="ctr" defTabSz="444500">
            <a:lnSpc>
              <a:spcPct val="90000"/>
            </a:lnSpc>
            <a:spcBef>
              <a:spcPct val="0"/>
            </a:spcBef>
            <a:spcAft>
              <a:spcPct val="35000"/>
            </a:spcAft>
            <a:buNone/>
          </a:pPr>
          <a:r>
            <a:rPr lang="en-US" sz="1000" kern="1200" dirty="0" err="1"/>
            <a:t>isArticle</a:t>
          </a:r>
          <a:r>
            <a:rPr lang="en-US" sz="1000" kern="1200" dirty="0"/>
            <a:t>=True)</a:t>
          </a:r>
          <a:endParaRPr lang="en-CA" sz="1000" kern="1200" dirty="0"/>
        </a:p>
      </dsp:txBody>
      <dsp:txXfrm>
        <a:off x="999358" y="996807"/>
        <a:ext cx="1004833" cy="656277"/>
      </dsp:txXfrm>
    </dsp:sp>
    <dsp:sp modelId="{579CC6A0-041F-4CF8-A69E-FC028CB2607E}">
      <dsp:nvSpPr>
        <dsp:cNvPr id="0" name=""/>
        <dsp:cNvSpPr/>
      </dsp:nvSpPr>
      <dsp:spPr>
        <a:xfrm>
          <a:off x="1456054" y="1673502"/>
          <a:ext cx="91440" cy="278845"/>
        </a:xfrm>
        <a:custGeom>
          <a:avLst/>
          <a:gdLst/>
          <a:ahLst/>
          <a:cxnLst/>
          <a:rect l="0" t="0" r="0" b="0"/>
          <a:pathLst>
            <a:path>
              <a:moveTo>
                <a:pt x="45720" y="0"/>
              </a:moveTo>
              <a:lnTo>
                <a:pt x="45720" y="27884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AA5A7-616E-477A-B839-318614A39D2E}">
      <dsp:nvSpPr>
        <dsp:cNvPr id="0" name=""/>
        <dsp:cNvSpPr/>
      </dsp:nvSpPr>
      <dsp:spPr>
        <a:xfrm>
          <a:off x="978940" y="1952347"/>
          <a:ext cx="1045669" cy="69711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M1 </a:t>
          </a:r>
        </a:p>
        <a:p>
          <a:pPr marL="0" lvl="0" indent="0" algn="ctr" defTabSz="444500">
            <a:lnSpc>
              <a:spcPct val="90000"/>
            </a:lnSpc>
            <a:spcBef>
              <a:spcPct val="0"/>
            </a:spcBef>
            <a:spcAft>
              <a:spcPct val="35000"/>
            </a:spcAft>
            <a:buNone/>
          </a:pPr>
          <a:r>
            <a:rPr lang="en-US" sz="1000" kern="1200" dirty="0"/>
            <a:t>(mass=1g,</a:t>
          </a:r>
        </a:p>
      </dsp:txBody>
      <dsp:txXfrm>
        <a:off x="999358" y="1972765"/>
        <a:ext cx="1004833" cy="656277"/>
      </dsp:txXfrm>
    </dsp:sp>
    <dsp:sp modelId="{0A0F687D-0845-4F6E-859F-F5D1D3EB10D9}">
      <dsp:nvSpPr>
        <dsp:cNvPr id="0" name=""/>
        <dsp:cNvSpPr/>
      </dsp:nvSpPr>
      <dsp:spPr>
        <a:xfrm>
          <a:off x="1456054" y="2649460"/>
          <a:ext cx="91440" cy="278845"/>
        </a:xfrm>
        <a:custGeom>
          <a:avLst/>
          <a:gdLst/>
          <a:ahLst/>
          <a:cxnLst/>
          <a:rect l="0" t="0" r="0" b="0"/>
          <a:pathLst>
            <a:path>
              <a:moveTo>
                <a:pt x="45720" y="0"/>
              </a:moveTo>
              <a:lnTo>
                <a:pt x="45720" y="27884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D5E04-6B1E-4F5F-ABE2-BA2D14DB8E3A}">
      <dsp:nvSpPr>
        <dsp:cNvPr id="0" name=""/>
        <dsp:cNvSpPr/>
      </dsp:nvSpPr>
      <dsp:spPr>
        <a:xfrm>
          <a:off x="978940" y="2928305"/>
          <a:ext cx="1045669" cy="697113"/>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S1 </a:t>
          </a:r>
        </a:p>
        <a:p>
          <a:pPr marL="0" lvl="0" indent="0" algn="ctr" defTabSz="444500">
            <a:lnSpc>
              <a:spcPct val="90000"/>
            </a:lnSpc>
            <a:spcBef>
              <a:spcPct val="0"/>
            </a:spcBef>
            <a:spcAft>
              <a:spcPct val="35000"/>
            </a:spcAft>
            <a:buNone/>
          </a:pPr>
          <a:r>
            <a:rPr lang="en-US" sz="1000" kern="1200" dirty="0"/>
            <a:t>(mass = 0.2g)</a:t>
          </a:r>
          <a:endParaRPr lang="en-CA" sz="1000" kern="1200" dirty="0"/>
        </a:p>
      </dsp:txBody>
      <dsp:txXfrm>
        <a:off x="999358" y="2948723"/>
        <a:ext cx="1004833" cy="6562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06A84-6EA6-4B8F-A84C-90C812CDFF27}">
      <dsp:nvSpPr>
        <dsp:cNvPr id="0" name=""/>
        <dsp:cNvSpPr/>
      </dsp:nvSpPr>
      <dsp:spPr>
        <a:xfrm>
          <a:off x="2248729" y="2212"/>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IC </a:t>
          </a:r>
        </a:p>
        <a:p>
          <a:pPr marL="0" lvl="0" indent="0" algn="ctr" defTabSz="400050">
            <a:lnSpc>
              <a:spcPct val="90000"/>
            </a:lnSpc>
            <a:spcBef>
              <a:spcPct val="0"/>
            </a:spcBef>
            <a:spcAft>
              <a:spcPct val="35000"/>
            </a:spcAft>
            <a:buNone/>
          </a:pPr>
          <a:r>
            <a:rPr lang="en-US" sz="900" kern="1200" dirty="0"/>
            <a:t>(</a:t>
          </a:r>
          <a:r>
            <a:rPr lang="en-US" sz="900" kern="1200" dirty="0" err="1"/>
            <a:t>isArticle</a:t>
          </a:r>
          <a:r>
            <a:rPr lang="en-US" sz="900" kern="1200" dirty="0"/>
            <a:t>=True)</a:t>
          </a:r>
          <a:endParaRPr lang="en-CA" sz="900" kern="1200" dirty="0"/>
        </a:p>
      </dsp:txBody>
      <dsp:txXfrm>
        <a:off x="2265843" y="19326"/>
        <a:ext cx="842220" cy="550071"/>
      </dsp:txXfrm>
    </dsp:sp>
    <dsp:sp modelId="{EE35ABD7-39D5-49E9-BBC4-4632F6A61278}">
      <dsp:nvSpPr>
        <dsp:cNvPr id="0" name=""/>
        <dsp:cNvSpPr/>
      </dsp:nvSpPr>
      <dsp:spPr>
        <a:xfrm>
          <a:off x="2641234" y="586511"/>
          <a:ext cx="91440" cy="233719"/>
        </a:xfrm>
        <a:custGeom>
          <a:avLst/>
          <a:gdLst/>
          <a:ahLst/>
          <a:cxnLst/>
          <a:rect l="0" t="0" r="0" b="0"/>
          <a:pathLst>
            <a:path>
              <a:moveTo>
                <a:pt x="45720" y="0"/>
              </a:moveTo>
              <a:lnTo>
                <a:pt x="45720" y="23371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E78167-B747-4F15-81E8-79530874B400}">
      <dsp:nvSpPr>
        <dsp:cNvPr id="0" name=""/>
        <dsp:cNvSpPr/>
      </dsp:nvSpPr>
      <dsp:spPr>
        <a:xfrm>
          <a:off x="2248729" y="820231"/>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Die Assembly </a:t>
          </a:r>
          <a:r>
            <a:rPr lang="en-US" sz="900" kern="1200"/>
            <a:t>(P4)</a:t>
          </a:r>
          <a:endParaRPr lang="en-US" sz="900" kern="1200" dirty="0"/>
        </a:p>
        <a:p>
          <a:pPr marL="0" lvl="0" indent="0" algn="ctr" defTabSz="400050">
            <a:lnSpc>
              <a:spcPct val="90000"/>
            </a:lnSpc>
            <a:spcBef>
              <a:spcPct val="0"/>
            </a:spcBef>
            <a:spcAft>
              <a:spcPct val="35000"/>
            </a:spcAft>
            <a:buNone/>
          </a:pPr>
          <a:r>
            <a:rPr lang="en-US" sz="900" kern="1200" dirty="0"/>
            <a:t>(</a:t>
          </a:r>
          <a:r>
            <a:rPr lang="en-US" sz="900" kern="1200" dirty="0" err="1"/>
            <a:t>isArticle</a:t>
          </a:r>
          <a:r>
            <a:rPr lang="en-US" sz="900" kern="1200" dirty="0"/>
            <a:t>=True)</a:t>
          </a:r>
          <a:endParaRPr lang="en-CA" sz="900" kern="1200" dirty="0"/>
        </a:p>
      </dsp:txBody>
      <dsp:txXfrm>
        <a:off x="2265843" y="837345"/>
        <a:ext cx="842220" cy="550071"/>
      </dsp:txXfrm>
    </dsp:sp>
    <dsp:sp modelId="{EF22BD81-AA62-4ABF-A40F-A4276640F06B}">
      <dsp:nvSpPr>
        <dsp:cNvPr id="0" name=""/>
        <dsp:cNvSpPr/>
      </dsp:nvSpPr>
      <dsp:spPr>
        <a:xfrm>
          <a:off x="1262724" y="1404530"/>
          <a:ext cx="1424229" cy="233719"/>
        </a:xfrm>
        <a:custGeom>
          <a:avLst/>
          <a:gdLst/>
          <a:ahLst/>
          <a:cxnLst/>
          <a:rect l="0" t="0" r="0" b="0"/>
          <a:pathLst>
            <a:path>
              <a:moveTo>
                <a:pt x="1424229" y="0"/>
              </a:moveTo>
              <a:lnTo>
                <a:pt x="1424229" y="116859"/>
              </a:lnTo>
              <a:lnTo>
                <a:pt x="0" y="116859"/>
              </a:lnTo>
              <a:lnTo>
                <a:pt x="0"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DC91BC-8FB8-440D-95F8-5D1EFDDF8AE1}">
      <dsp:nvSpPr>
        <dsp:cNvPr id="0" name=""/>
        <dsp:cNvSpPr/>
      </dsp:nvSpPr>
      <dsp:spPr>
        <a:xfrm>
          <a:off x="824500" y="1638250"/>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kern="1200" dirty="0"/>
            <a:t>Die (P3)</a:t>
          </a:r>
        </a:p>
        <a:p>
          <a:pPr marL="0" lvl="0" indent="0" algn="ctr" defTabSz="400050">
            <a:lnSpc>
              <a:spcPct val="90000"/>
            </a:lnSpc>
            <a:spcBef>
              <a:spcPct val="0"/>
            </a:spcBef>
            <a:spcAft>
              <a:spcPct val="35000"/>
            </a:spcAft>
            <a:buNone/>
          </a:pPr>
          <a:r>
            <a:rPr lang="en-CA" sz="900" kern="1200" dirty="0"/>
            <a:t>(</a:t>
          </a:r>
          <a:r>
            <a:rPr lang="en-CA" sz="900" kern="1200" dirty="0" err="1"/>
            <a:t>isArticle</a:t>
          </a:r>
          <a:r>
            <a:rPr lang="en-CA" sz="900" kern="1200" dirty="0"/>
            <a:t>=True)</a:t>
          </a:r>
        </a:p>
      </dsp:txBody>
      <dsp:txXfrm>
        <a:off x="841614" y="1655364"/>
        <a:ext cx="842220" cy="550071"/>
      </dsp:txXfrm>
    </dsp:sp>
    <dsp:sp modelId="{BD8B4B93-7124-4EEB-A7A0-A2A9DDEE2F5B}">
      <dsp:nvSpPr>
        <dsp:cNvPr id="0" name=""/>
        <dsp:cNvSpPr/>
      </dsp:nvSpPr>
      <dsp:spPr>
        <a:xfrm>
          <a:off x="2402108" y="1404530"/>
          <a:ext cx="284845" cy="233719"/>
        </a:xfrm>
        <a:custGeom>
          <a:avLst/>
          <a:gdLst/>
          <a:ahLst/>
          <a:cxnLst/>
          <a:rect l="0" t="0" r="0" b="0"/>
          <a:pathLst>
            <a:path>
              <a:moveTo>
                <a:pt x="284845" y="0"/>
              </a:moveTo>
              <a:lnTo>
                <a:pt x="284845" y="116859"/>
              </a:lnTo>
              <a:lnTo>
                <a:pt x="0" y="116859"/>
              </a:lnTo>
              <a:lnTo>
                <a:pt x="0"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238580-E614-499A-AEDE-557A66C8DD33}">
      <dsp:nvSpPr>
        <dsp:cNvPr id="0" name=""/>
        <dsp:cNvSpPr/>
      </dsp:nvSpPr>
      <dsp:spPr>
        <a:xfrm>
          <a:off x="1963883" y="1638250"/>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kern="1200" dirty="0"/>
            <a:t>Die attach (M2)</a:t>
          </a:r>
        </a:p>
        <a:p>
          <a:pPr marL="0" lvl="0" indent="0" algn="ctr" defTabSz="400050">
            <a:lnSpc>
              <a:spcPct val="90000"/>
            </a:lnSpc>
            <a:spcBef>
              <a:spcPct val="0"/>
            </a:spcBef>
            <a:spcAft>
              <a:spcPct val="35000"/>
            </a:spcAft>
            <a:buNone/>
          </a:pPr>
          <a:endParaRPr lang="en-CA" sz="900" kern="1200" dirty="0"/>
        </a:p>
      </dsp:txBody>
      <dsp:txXfrm>
        <a:off x="1980997" y="1655364"/>
        <a:ext cx="842220" cy="550071"/>
      </dsp:txXfrm>
    </dsp:sp>
    <dsp:sp modelId="{E43DD157-1F6F-4D16-8C7C-BB72C1FEF276}">
      <dsp:nvSpPr>
        <dsp:cNvPr id="0" name=""/>
        <dsp:cNvSpPr/>
      </dsp:nvSpPr>
      <dsp:spPr>
        <a:xfrm>
          <a:off x="2356388" y="2222549"/>
          <a:ext cx="91440" cy="233719"/>
        </a:xfrm>
        <a:custGeom>
          <a:avLst/>
          <a:gdLst/>
          <a:ahLst/>
          <a:cxnLst/>
          <a:rect l="0" t="0" r="0" b="0"/>
          <a:pathLst>
            <a:path>
              <a:moveTo>
                <a:pt x="45720" y="0"/>
              </a:moveTo>
              <a:lnTo>
                <a:pt x="45720"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88683-271B-45DD-A1F4-147ED14412C4}">
      <dsp:nvSpPr>
        <dsp:cNvPr id="0" name=""/>
        <dsp:cNvSpPr/>
      </dsp:nvSpPr>
      <dsp:spPr>
        <a:xfrm>
          <a:off x="1963883" y="2456269"/>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kern="1200" dirty="0"/>
            <a:t>S2 (SVHC)</a:t>
          </a:r>
        </a:p>
      </dsp:txBody>
      <dsp:txXfrm>
        <a:off x="1980997" y="2473383"/>
        <a:ext cx="842220" cy="550071"/>
      </dsp:txXfrm>
    </dsp:sp>
    <dsp:sp modelId="{F1F331EA-420B-41BA-AA25-21D53ADCDB64}">
      <dsp:nvSpPr>
        <dsp:cNvPr id="0" name=""/>
        <dsp:cNvSpPr/>
      </dsp:nvSpPr>
      <dsp:spPr>
        <a:xfrm>
          <a:off x="2686954" y="1404530"/>
          <a:ext cx="1424229" cy="233719"/>
        </a:xfrm>
        <a:custGeom>
          <a:avLst/>
          <a:gdLst/>
          <a:ahLst/>
          <a:cxnLst/>
          <a:rect l="0" t="0" r="0" b="0"/>
          <a:pathLst>
            <a:path>
              <a:moveTo>
                <a:pt x="0" y="0"/>
              </a:moveTo>
              <a:lnTo>
                <a:pt x="0" y="116859"/>
              </a:lnTo>
              <a:lnTo>
                <a:pt x="1424229" y="116859"/>
              </a:lnTo>
              <a:lnTo>
                <a:pt x="1424229"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19E00-A05D-452F-BFF6-98CB7F25D487}">
      <dsp:nvSpPr>
        <dsp:cNvPr id="0" name=""/>
        <dsp:cNvSpPr/>
      </dsp:nvSpPr>
      <dsp:spPr>
        <a:xfrm>
          <a:off x="3672959" y="1638250"/>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Plated Lead Frame (P2) </a:t>
          </a:r>
        </a:p>
        <a:p>
          <a:pPr marL="0" lvl="0" indent="0" algn="ctr" defTabSz="400050">
            <a:lnSpc>
              <a:spcPct val="90000"/>
            </a:lnSpc>
            <a:spcBef>
              <a:spcPct val="0"/>
            </a:spcBef>
            <a:spcAft>
              <a:spcPct val="35000"/>
            </a:spcAft>
            <a:buNone/>
          </a:pPr>
          <a:r>
            <a:rPr lang="en-US" sz="900" kern="1200" dirty="0"/>
            <a:t>(</a:t>
          </a:r>
          <a:r>
            <a:rPr lang="en-US" sz="900" kern="1200" dirty="0" err="1"/>
            <a:t>isArticle</a:t>
          </a:r>
          <a:r>
            <a:rPr lang="en-US" sz="900" kern="1200" dirty="0"/>
            <a:t>=True)</a:t>
          </a:r>
          <a:endParaRPr lang="en-CA" sz="900" kern="1200" dirty="0"/>
        </a:p>
      </dsp:txBody>
      <dsp:txXfrm>
        <a:off x="3690073" y="1655364"/>
        <a:ext cx="842220" cy="550071"/>
      </dsp:txXfrm>
    </dsp:sp>
    <dsp:sp modelId="{CA927BA7-3DD0-4AFA-AD04-5EF57D091457}">
      <dsp:nvSpPr>
        <dsp:cNvPr id="0" name=""/>
        <dsp:cNvSpPr/>
      </dsp:nvSpPr>
      <dsp:spPr>
        <a:xfrm>
          <a:off x="3541491" y="2222549"/>
          <a:ext cx="569691" cy="233719"/>
        </a:xfrm>
        <a:custGeom>
          <a:avLst/>
          <a:gdLst/>
          <a:ahLst/>
          <a:cxnLst/>
          <a:rect l="0" t="0" r="0" b="0"/>
          <a:pathLst>
            <a:path>
              <a:moveTo>
                <a:pt x="569691" y="0"/>
              </a:moveTo>
              <a:lnTo>
                <a:pt x="569691" y="116859"/>
              </a:lnTo>
              <a:lnTo>
                <a:pt x="0" y="116859"/>
              </a:lnTo>
              <a:lnTo>
                <a:pt x="0"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A89483-BB07-4B1F-BB6F-435F7869CC74}">
      <dsp:nvSpPr>
        <dsp:cNvPr id="0" name=""/>
        <dsp:cNvSpPr/>
      </dsp:nvSpPr>
      <dsp:spPr>
        <a:xfrm>
          <a:off x="3103267" y="2456269"/>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CA" sz="900" kern="1200" dirty="0"/>
            <a:t>Lead Frame (P1)</a:t>
          </a:r>
        </a:p>
        <a:p>
          <a:pPr marL="0" lvl="0" indent="0" algn="ctr" defTabSz="400050">
            <a:lnSpc>
              <a:spcPct val="90000"/>
            </a:lnSpc>
            <a:spcBef>
              <a:spcPct val="0"/>
            </a:spcBef>
            <a:spcAft>
              <a:spcPct val="35000"/>
            </a:spcAft>
            <a:buNone/>
          </a:pPr>
          <a:r>
            <a:rPr lang="en-CA" sz="900" kern="1200" dirty="0"/>
            <a:t>(</a:t>
          </a:r>
          <a:r>
            <a:rPr lang="en-CA" sz="900" kern="1200" dirty="0" err="1"/>
            <a:t>isArticle</a:t>
          </a:r>
          <a:r>
            <a:rPr lang="en-CA" sz="900" kern="1200" dirty="0"/>
            <a:t>=True)</a:t>
          </a:r>
        </a:p>
      </dsp:txBody>
      <dsp:txXfrm>
        <a:off x="3120381" y="2473383"/>
        <a:ext cx="842220" cy="550071"/>
      </dsp:txXfrm>
    </dsp:sp>
    <dsp:sp modelId="{33297149-5759-462C-948E-90C4281C88F8}">
      <dsp:nvSpPr>
        <dsp:cNvPr id="0" name=""/>
        <dsp:cNvSpPr/>
      </dsp:nvSpPr>
      <dsp:spPr>
        <a:xfrm>
          <a:off x="4111183" y="2222549"/>
          <a:ext cx="569691" cy="233719"/>
        </a:xfrm>
        <a:custGeom>
          <a:avLst/>
          <a:gdLst/>
          <a:ahLst/>
          <a:cxnLst/>
          <a:rect l="0" t="0" r="0" b="0"/>
          <a:pathLst>
            <a:path>
              <a:moveTo>
                <a:pt x="0" y="0"/>
              </a:moveTo>
              <a:lnTo>
                <a:pt x="0" y="116859"/>
              </a:lnTo>
              <a:lnTo>
                <a:pt x="569691" y="116859"/>
              </a:lnTo>
              <a:lnTo>
                <a:pt x="569691"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086B75-8862-45BA-9DA6-EB9648B5C343}">
      <dsp:nvSpPr>
        <dsp:cNvPr id="0" name=""/>
        <dsp:cNvSpPr/>
      </dsp:nvSpPr>
      <dsp:spPr>
        <a:xfrm>
          <a:off x="4242650" y="2456269"/>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Plating (M1) </a:t>
          </a:r>
        </a:p>
        <a:p>
          <a:pPr marL="0" lvl="0" indent="0" algn="ctr" defTabSz="400050">
            <a:lnSpc>
              <a:spcPct val="90000"/>
            </a:lnSpc>
            <a:spcBef>
              <a:spcPct val="0"/>
            </a:spcBef>
            <a:spcAft>
              <a:spcPct val="35000"/>
            </a:spcAft>
            <a:buNone/>
          </a:pPr>
          <a:endParaRPr lang="en-CA" sz="900" kern="1200" dirty="0"/>
        </a:p>
      </dsp:txBody>
      <dsp:txXfrm>
        <a:off x="4259764" y="2473383"/>
        <a:ext cx="842220" cy="550071"/>
      </dsp:txXfrm>
    </dsp:sp>
    <dsp:sp modelId="{63BE3CCB-C10E-4557-8ABD-BB72614F125D}">
      <dsp:nvSpPr>
        <dsp:cNvPr id="0" name=""/>
        <dsp:cNvSpPr/>
      </dsp:nvSpPr>
      <dsp:spPr>
        <a:xfrm>
          <a:off x="4635155" y="3040568"/>
          <a:ext cx="91440" cy="233719"/>
        </a:xfrm>
        <a:custGeom>
          <a:avLst/>
          <a:gdLst/>
          <a:ahLst/>
          <a:cxnLst/>
          <a:rect l="0" t="0" r="0" b="0"/>
          <a:pathLst>
            <a:path>
              <a:moveTo>
                <a:pt x="45720" y="0"/>
              </a:moveTo>
              <a:lnTo>
                <a:pt x="45720" y="23371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FE2B1-7FC7-4509-B91B-8CCE69D9C950}">
      <dsp:nvSpPr>
        <dsp:cNvPr id="0" name=""/>
        <dsp:cNvSpPr/>
      </dsp:nvSpPr>
      <dsp:spPr>
        <a:xfrm>
          <a:off x="4242650" y="3274288"/>
          <a:ext cx="876448" cy="584299"/>
        </a:xfrm>
        <a:prstGeom prst="roundRect">
          <a:avLst>
            <a:gd name="adj" fmla="val 10000"/>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S1 (</a:t>
          </a:r>
          <a:r>
            <a:rPr lang="en-US" sz="900" kern="1200"/>
            <a:t>SVHC)</a:t>
          </a:r>
          <a:endParaRPr lang="en-US" sz="900" kern="1200" dirty="0"/>
        </a:p>
      </dsp:txBody>
      <dsp:txXfrm>
        <a:off x="4259764" y="3291402"/>
        <a:ext cx="842220" cy="5500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AB3BE25084843BA9F105429AF3703"/>
        <w:category>
          <w:name w:val="General"/>
          <w:gallery w:val="placeholder"/>
        </w:category>
        <w:types>
          <w:type w:val="bbPlcHdr"/>
        </w:types>
        <w:behaviors>
          <w:behavior w:val="content"/>
        </w:behaviors>
        <w:guid w:val="{F21A2ABD-7A27-4B83-8C8A-A67AA993CF3A}"/>
      </w:docPartPr>
      <w:docPartBody>
        <w:p w:rsidR="00AF6582" w:rsidRDefault="0085196F" w:rsidP="0085196F">
          <w:pPr>
            <w:pStyle w:val="76BAB3BE25084843BA9F105429AF3703"/>
          </w:pPr>
          <w:r>
            <w:t>[Type the document title]</w:t>
          </w:r>
        </w:p>
      </w:docPartBody>
    </w:docPart>
    <w:docPart>
      <w:docPartPr>
        <w:name w:val="FFFC7E4AE9D44A19A229AD95F279C95A"/>
        <w:category>
          <w:name w:val="General"/>
          <w:gallery w:val="placeholder"/>
        </w:category>
        <w:types>
          <w:type w:val="bbPlcHdr"/>
        </w:types>
        <w:behaviors>
          <w:behavior w:val="content"/>
        </w:behaviors>
        <w:guid w:val="{75996765-0DF2-43F9-98ED-509BDFC294D9}"/>
      </w:docPartPr>
      <w:docPartBody>
        <w:p w:rsidR="00AF6582" w:rsidRDefault="0085196F" w:rsidP="0085196F">
          <w:pPr>
            <w:pStyle w:val="FFFC7E4AE9D44A19A229AD95F279C95A"/>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96F"/>
    <w:rsid w:val="0001152A"/>
    <w:rsid w:val="00026623"/>
    <w:rsid w:val="00031751"/>
    <w:rsid w:val="00037510"/>
    <w:rsid w:val="000A37D9"/>
    <w:rsid w:val="000B0B2A"/>
    <w:rsid w:val="000C1DF1"/>
    <w:rsid w:val="000D199E"/>
    <w:rsid w:val="000D47DF"/>
    <w:rsid w:val="000E16A5"/>
    <w:rsid w:val="00132F73"/>
    <w:rsid w:val="0013778A"/>
    <w:rsid w:val="001718B5"/>
    <w:rsid w:val="00171B2B"/>
    <w:rsid w:val="00187481"/>
    <w:rsid w:val="00193E3C"/>
    <w:rsid w:val="001A0B63"/>
    <w:rsid w:val="001C6846"/>
    <w:rsid w:val="001C7E49"/>
    <w:rsid w:val="001F2317"/>
    <w:rsid w:val="001F6E14"/>
    <w:rsid w:val="002044EC"/>
    <w:rsid w:val="00205868"/>
    <w:rsid w:val="002123DC"/>
    <w:rsid w:val="0022100E"/>
    <w:rsid w:val="002408BE"/>
    <w:rsid w:val="00277836"/>
    <w:rsid w:val="00294B26"/>
    <w:rsid w:val="002A1337"/>
    <w:rsid w:val="002A7B0A"/>
    <w:rsid w:val="002C575B"/>
    <w:rsid w:val="00306851"/>
    <w:rsid w:val="003277FF"/>
    <w:rsid w:val="003722DE"/>
    <w:rsid w:val="00376124"/>
    <w:rsid w:val="00386022"/>
    <w:rsid w:val="00396924"/>
    <w:rsid w:val="003D478A"/>
    <w:rsid w:val="003E5F05"/>
    <w:rsid w:val="003F5284"/>
    <w:rsid w:val="004106C0"/>
    <w:rsid w:val="00416578"/>
    <w:rsid w:val="00420BDD"/>
    <w:rsid w:val="00443461"/>
    <w:rsid w:val="00454B97"/>
    <w:rsid w:val="00472BB0"/>
    <w:rsid w:val="00475E06"/>
    <w:rsid w:val="0048585A"/>
    <w:rsid w:val="00491DF8"/>
    <w:rsid w:val="004B00F3"/>
    <w:rsid w:val="004B4463"/>
    <w:rsid w:val="004F48A6"/>
    <w:rsid w:val="00526F0E"/>
    <w:rsid w:val="00542820"/>
    <w:rsid w:val="005623DA"/>
    <w:rsid w:val="00575F0F"/>
    <w:rsid w:val="0058192F"/>
    <w:rsid w:val="00585290"/>
    <w:rsid w:val="00590985"/>
    <w:rsid w:val="005B1C9D"/>
    <w:rsid w:val="005F58B9"/>
    <w:rsid w:val="00625037"/>
    <w:rsid w:val="00661B3D"/>
    <w:rsid w:val="0067324C"/>
    <w:rsid w:val="0069640E"/>
    <w:rsid w:val="006D1831"/>
    <w:rsid w:val="007509DD"/>
    <w:rsid w:val="007510D6"/>
    <w:rsid w:val="007A5E5E"/>
    <w:rsid w:val="007B49F4"/>
    <w:rsid w:val="00802FCD"/>
    <w:rsid w:val="008109CF"/>
    <w:rsid w:val="008143EA"/>
    <w:rsid w:val="00815772"/>
    <w:rsid w:val="00825992"/>
    <w:rsid w:val="00826E7D"/>
    <w:rsid w:val="0085196F"/>
    <w:rsid w:val="00914773"/>
    <w:rsid w:val="00923ED0"/>
    <w:rsid w:val="00925C7D"/>
    <w:rsid w:val="00961755"/>
    <w:rsid w:val="009B0961"/>
    <w:rsid w:val="009B243F"/>
    <w:rsid w:val="009E6BC4"/>
    <w:rsid w:val="00A209EA"/>
    <w:rsid w:val="00A57F2E"/>
    <w:rsid w:val="00A67D69"/>
    <w:rsid w:val="00AB1C43"/>
    <w:rsid w:val="00AE072B"/>
    <w:rsid w:val="00AF6582"/>
    <w:rsid w:val="00B31FB6"/>
    <w:rsid w:val="00B708BB"/>
    <w:rsid w:val="00B94736"/>
    <w:rsid w:val="00B95C20"/>
    <w:rsid w:val="00B97C97"/>
    <w:rsid w:val="00BC1743"/>
    <w:rsid w:val="00BF4387"/>
    <w:rsid w:val="00C17CED"/>
    <w:rsid w:val="00C44D61"/>
    <w:rsid w:val="00C77A9B"/>
    <w:rsid w:val="00CF68DC"/>
    <w:rsid w:val="00D17F40"/>
    <w:rsid w:val="00D4210D"/>
    <w:rsid w:val="00D60D8B"/>
    <w:rsid w:val="00D71ED7"/>
    <w:rsid w:val="00D8510E"/>
    <w:rsid w:val="00DA7E32"/>
    <w:rsid w:val="00DC5E00"/>
    <w:rsid w:val="00DD2BB8"/>
    <w:rsid w:val="00DE64B2"/>
    <w:rsid w:val="00E0031F"/>
    <w:rsid w:val="00E027A2"/>
    <w:rsid w:val="00E07743"/>
    <w:rsid w:val="00E11588"/>
    <w:rsid w:val="00E550A8"/>
    <w:rsid w:val="00E57385"/>
    <w:rsid w:val="00EB413B"/>
    <w:rsid w:val="00F33226"/>
    <w:rsid w:val="00F60AAC"/>
    <w:rsid w:val="00F94F19"/>
    <w:rsid w:val="00FB5065"/>
    <w:rsid w:val="00FB6FE8"/>
    <w:rsid w:val="00FC696E"/>
    <w:rsid w:val="00FD0F6D"/>
    <w:rsid w:val="00FD79DF"/>
    <w:rsid w:val="00FE23AC"/>
    <w:rsid w:val="00FE4D98"/>
    <w:rsid w:val="00FF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AB3BE25084843BA9F105429AF3703">
    <w:name w:val="76BAB3BE25084843BA9F105429AF3703"/>
    <w:rsid w:val="0085196F"/>
  </w:style>
  <w:style w:type="paragraph" w:customStyle="1" w:styleId="FFFC7E4AE9D44A19A229AD95F279C95A">
    <w:name w:val="FFFC7E4AE9D44A19A229AD95F279C95A"/>
    <w:rsid w:val="00851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V2.0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cde53ac1-bf5f-4aae-9cf1-07509e23a4b0" origin="userSelected">
  <element uid="dececbd6-da3b-46fe-8f00-f9d9deea2ee1" value=""/>
  <element uid="bbbf7bf4-4f4f-4189-9c5e-65015de8a6ad" value=""/>
  <element uid="bba94c65-ac3d-4f34-b2e1-8de11ef6f01c" value=""/>
  <element uid="bc2b7c01-6db1-4e7d-88d1-fc61674f86fd" value=""/>
  <element uid="92e993a3-af32-4afb-aa19-3a49cdb82c7a"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</Value>
</WrappedLabelHistor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E8C6CE-2297-4624-83EF-7710B612F902}">
  <ds:schemaRefs>
    <ds:schemaRef ds:uri="http://schemas.openxmlformats.org/officeDocument/2006/bibliography"/>
  </ds:schemaRefs>
</ds:datastoreItem>
</file>

<file path=customXml/itemProps3.xml><?xml version="1.0" encoding="utf-8"?>
<ds:datastoreItem xmlns:ds="http://schemas.openxmlformats.org/officeDocument/2006/customXml" ds:itemID="{A11195F0-A9F9-4660-822E-29FB50A088F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67759F2-0691-45EA-A929-E020ED7DE975}">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IPC-1754 User Guidance</vt:lpstr>
    </vt:vector>
  </TitlesOfParts>
  <Company>DASSAULT SYSTEMES</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IPC-1754 User Guidance</dc:title>
  <dc:subject>[rtnipcontrolcode:unrestricted|rtnipvm:noipvm|rtnexportcontrolcountry:rtnexportcontrolcountrynone|rtnexportcontrolcode:rtnexportcontrolcodenone|rtnusecvm:nousecvm|]</dc:subject>
  <dc:creator>Jean-Pierre THERET;Raj Takhar</dc:creator>
  <cp:keywords>Non Technical</cp:keywords>
  <cp:lastModifiedBy>SHANKS, RICK                            PW</cp:lastModifiedBy>
  <cp:revision>4</cp:revision>
  <cp:lastPrinted>2018-08-17T16:44:00Z</cp:lastPrinted>
  <dcterms:created xsi:type="dcterms:W3CDTF">2023-03-07T15:11:00Z</dcterms:created>
  <dcterms:modified xsi:type="dcterms:W3CDTF">2023-03-07T15:15:00Z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e1fd9bcb-0104-4890-b59f-7e50928cbb95</vt:lpwstr>
  </property>
  <property fmtid="{D5CDD505-2E9C-101B-9397-08002B2CF9AE}" pid="3" name="LM SIP Document Sensitivity">
    <vt:lpwstr/>
  </property>
  <property fmtid="{D5CDD505-2E9C-101B-9397-08002B2CF9AE}" pid="4" name="Document Author">
    <vt:lpwstr>ACCT04\mlindema</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
  </property>
  <property fmtid="{D5CDD505-2E9C-101B-9397-08002B2CF9AE}" pid="13" name="checkedProgramsCount">
    <vt:i4>0</vt:i4>
  </property>
  <property fmtid="{D5CDD505-2E9C-101B-9397-08002B2CF9AE}" pid="14" name="ExpCountry">
    <vt:lpwstr/>
  </property>
  <property fmtid="{D5CDD505-2E9C-101B-9397-08002B2CF9AE}" pid="15" name="UTCTechnicalDataKeyword">
    <vt:lpwstr>Non Technical</vt:lpwstr>
  </property>
  <property fmtid="{D5CDD505-2E9C-101B-9397-08002B2CF9AE}" pid="16" name="rtnipcontrolcode">
    <vt:lpwstr>unrestricted</vt:lpwstr>
  </property>
  <property fmtid="{D5CDD505-2E9C-101B-9397-08002B2CF9AE}" pid="17" name="rtnipcontrolcodevm">
    <vt:lpwstr>noipvm</vt:lpwstr>
  </property>
  <property fmtid="{D5CDD505-2E9C-101B-9397-08002B2CF9AE}" pid="18" name="rtnexportcontrolcountry">
    <vt:lpwstr>usa</vt:lpwstr>
  </property>
  <property fmtid="{D5CDD505-2E9C-101B-9397-08002B2CF9AE}" pid="19" name="rtnexportcontrolcode">
    <vt:lpwstr>otherinfo</vt:lpwstr>
  </property>
  <property fmtid="{D5CDD505-2E9C-101B-9397-08002B2CF9AE}" pid="20" name="rtnexportcontrolcodevm">
    <vt:lpwstr>nousecvm</vt:lpwstr>
  </property>
  <property fmtid="{D5CDD505-2E9C-101B-9397-08002B2CF9AE}" pid="21" name="docIndexRef">
    <vt:lpwstr>9187e55a-ccb3-4fa1-9c3f-e7d9fdf7efcd</vt:lpwstr>
  </property>
  <property fmtid="{D5CDD505-2E9C-101B-9397-08002B2CF9AE}" pid="22" name="bjClsUserRVM">
    <vt:lpwstr>[]</vt:lpwstr>
  </property>
  <property fmtid="{D5CDD505-2E9C-101B-9397-08002B2CF9AE}" pid="23" name="bjSaver">
    <vt:lpwstr>ttLv1rRIBdSIWV1LnMhck+lrHYVmvmaj</vt:lpwstr>
  </property>
  <property fmtid="{D5CDD505-2E9C-101B-9397-08002B2CF9AE}" pid="24" name="bjDocumentLabelXML">
    <vt:lpwstr>&lt;?xml version="1.0" encoding="us-ascii"?&gt;&lt;sisl xmlns:xsi="http://www.w3.org/2001/XMLSchema-instance" xmlns:xsd="http://www.w3.org/2001/XMLSchema" sislVersion="0" policy="cde53ac1-bf5f-4aae-9cf1-07509e23a4b0" origin="userSelected" xmlns="http://www.boldonj</vt:lpwstr>
  </property>
  <property fmtid="{D5CDD505-2E9C-101B-9397-08002B2CF9AE}" pid="25" name="bjDocumentLabelXML-0">
    <vt:lpwstr>ames.com/2008/01/sie/internal/label"&gt;&lt;element uid="dececbd6-da3b-46fe-8f00-f9d9deea2ee1" value="" /&gt;&lt;element uid="bbbf7bf4-4f4f-4189-9c5e-65015de8a6ad" value="" /&gt;&lt;element uid="bba94c65-ac3d-4f34-b2e1-8de11ef6f01c" value="" /&gt;&lt;element uid="bc2b7c01-6db1-4</vt:lpwstr>
  </property>
  <property fmtid="{D5CDD505-2E9C-101B-9397-08002B2CF9AE}" pid="26" name="bjDocumentLabelXML-1">
    <vt:lpwstr>e7d-88d1-fc61674f86fd" value="" /&gt;&lt;element uid="92e993a3-af32-4afb-aa19-3a49cdb82c7a" value="" /&gt;&lt;/sisl&gt;</vt:lpwstr>
  </property>
  <property fmtid="{D5CDD505-2E9C-101B-9397-08002B2CF9AE}" pid="27" name="bjDocumentSecurityLabel">
    <vt:lpwstr>Origin Jurisdiction: US  | Unrestricted Content | No marking applied by this tool | Other Information (Not Requiring an Export Control Marking) | No marking applied by the tool</vt:lpwstr>
  </property>
  <property fmtid="{D5CDD505-2E9C-101B-9397-08002B2CF9AE}" pid="28" name="bjLabelHistoryID">
    <vt:lpwstr>{267759F2-0691-45EA-A929-E020ED7DE975}</vt:lpwstr>
  </property>
  <property fmtid="{D5CDD505-2E9C-101B-9397-08002B2CF9AE}" pid="29" name="UTCTechnicalData">
    <vt:lpwstr>N</vt:lpwstr>
  </property>
  <property fmtid="{D5CDD505-2E9C-101B-9397-08002B2CF9AE}" pid="30" name="MSIP_Label_4447dd6a-a4a1-440b-a6a3-9124ef1ee017_Enabled">
    <vt:lpwstr>True</vt:lpwstr>
  </property>
  <property fmtid="{D5CDD505-2E9C-101B-9397-08002B2CF9AE}" pid="31" name="MSIP_Label_4447dd6a-a4a1-440b-a6a3-9124ef1ee017_SiteId">
    <vt:lpwstr>7a18110d-ef9b-4274-acef-e62ab0fe28ed</vt:lpwstr>
  </property>
  <property fmtid="{D5CDD505-2E9C-101B-9397-08002B2CF9AE}" pid="32" name="MSIP_Label_4447dd6a-a4a1-440b-a6a3-9124ef1ee017_Owner">
    <vt:lpwstr>10102606@adxuser.com</vt:lpwstr>
  </property>
  <property fmtid="{D5CDD505-2E9C-101B-9397-08002B2CF9AE}" pid="33" name="MSIP_Label_4447dd6a-a4a1-440b-a6a3-9124ef1ee017_SetDate">
    <vt:lpwstr>2021-08-30T16:35:06.4147459Z</vt:lpwstr>
  </property>
  <property fmtid="{D5CDD505-2E9C-101B-9397-08002B2CF9AE}" pid="34" name="MSIP_Label_4447dd6a-a4a1-440b-a6a3-9124ef1ee017_Name">
    <vt:lpwstr>NO TECH DATA</vt:lpwstr>
  </property>
  <property fmtid="{D5CDD505-2E9C-101B-9397-08002B2CF9AE}" pid="35" name="MSIP_Label_4447dd6a-a4a1-440b-a6a3-9124ef1ee017_Application">
    <vt:lpwstr>Microsoft Azure Information Protection</vt:lpwstr>
  </property>
  <property fmtid="{D5CDD505-2E9C-101B-9397-08002B2CF9AE}" pid="36" name="MSIP_Label_4447dd6a-a4a1-440b-a6a3-9124ef1ee017_ActionId">
    <vt:lpwstr>5caac99f-5ba5-4e84-93b9-0f7fa71ff9e7</vt:lpwstr>
  </property>
  <property fmtid="{D5CDD505-2E9C-101B-9397-08002B2CF9AE}" pid="37" name="MSIP_Label_4447dd6a-a4a1-440b-a6a3-9124ef1ee017_Extended_MSFT_Method">
    <vt:lpwstr>Manual</vt:lpwstr>
  </property>
  <property fmtid="{D5CDD505-2E9C-101B-9397-08002B2CF9AE}" pid="38" name="Sensitivity">
    <vt:lpwstr>NO TECH DATA</vt:lpwstr>
  </property>
</Properties>
</file>